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bookmarkStart w:id="0" w:name="_GoBack"/>
            <w:bookmarkEnd w:id="0"/>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אלעזר נחלון</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r>
              <w:rPr>
                <w:rFonts w:ascii="Arial" w:hAnsi="Arial"/>
                <w:b/>
                <w:bCs/>
                <w:sz w:val="26"/>
                <w:szCs w:val="26"/>
                <w:rtl/>
              </w:rPr>
              <w:t>מאשימה</w:t>
            </w:r>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507694" w:rsidRPr="00EA448E" w:rsidRDefault="00D33BE7" w:rsidP="00EA448E">
            <w:pPr>
              <w:suppressLineNumbers/>
              <w:rPr>
                <w:rFonts w:ascii="David" w:hAnsi="David"/>
                <w:sz w:val="26"/>
                <w:szCs w:val="26"/>
              </w:rPr>
            </w:pPr>
            <w:r>
              <w:rPr>
                <w:rFonts w:ascii="Arial" w:hAnsi="Arial"/>
                <w:b/>
                <w:bCs/>
                <w:sz w:val="26"/>
                <w:szCs w:val="26"/>
                <w:rtl/>
              </w:rPr>
              <w:t>מדינת ישראל</w:t>
            </w: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EA448E">
            <w:pPr>
              <w:rPr>
                <w:rFonts w:ascii="Arial" w:hAnsi="Arial"/>
                <w:b/>
                <w:bCs/>
                <w:sz w:val="26"/>
                <w:szCs w:val="26"/>
                <w:rtl/>
              </w:rPr>
            </w:pPr>
            <w:r w:rsidRPr="000F2247">
              <w:rPr>
                <w:rFonts w:ascii="Arial" w:hAnsi="Arial"/>
                <w:b/>
                <w:bCs/>
                <w:sz w:val="26"/>
                <w:szCs w:val="26"/>
                <w:rtl/>
              </w:rPr>
              <w:t>ה</w:t>
            </w:r>
            <w:r w:rsidR="00EA448E">
              <w:rPr>
                <w:rFonts w:ascii="Arial" w:hAnsi="Arial"/>
                <w:b/>
                <w:bCs/>
                <w:sz w:val="26"/>
                <w:szCs w:val="26"/>
                <w:rtl/>
              </w:rPr>
              <w:t>נאש</w:t>
            </w:r>
            <w:r>
              <w:rPr>
                <w:rFonts w:ascii="Arial" w:hAnsi="Arial"/>
                <w:b/>
                <w:bCs/>
                <w:sz w:val="26"/>
                <w:szCs w:val="26"/>
                <w:rtl/>
              </w:rPr>
              <w:t>ם</w:t>
            </w:r>
          </w:p>
        </w:tc>
        <w:tc>
          <w:tcPr>
            <w:tcW w:w="4678" w:type="dxa"/>
            <w:tcBorders>
              <w:top w:val="nil"/>
              <w:left w:val="nil"/>
              <w:bottom w:val="nil"/>
              <w:right w:val="nil"/>
            </w:tcBorders>
            <w:vAlign w:val="center"/>
          </w:tcPr>
          <w:p w:rsidR="000F2247" w:rsidRDefault="00C230C9" w:rsidP="00EA448E">
            <w:pPr>
              <w:suppressLineNumbers/>
            </w:pPr>
            <w:r>
              <w:rPr>
                <w:rFonts w:ascii="Arial" w:hAnsi="Arial" w:hint="cs"/>
                <w:b/>
                <w:bCs/>
                <w:sz w:val="26"/>
                <w:szCs w:val="26"/>
                <w:rtl/>
              </w:rPr>
              <w:t>פלוני</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r w:rsidR="00EA448E" w:rsidRPr="00822550" w:rsidTr="000F2247">
        <w:trPr>
          <w:trHeight w:val="355"/>
          <w:jc w:val="center"/>
        </w:trPr>
        <w:tc>
          <w:tcPr>
            <w:tcW w:w="923" w:type="dxa"/>
            <w:tcBorders>
              <w:top w:val="nil"/>
              <w:left w:val="nil"/>
              <w:bottom w:val="nil"/>
              <w:right w:val="nil"/>
            </w:tcBorders>
          </w:tcPr>
          <w:p w:rsidR="00EA448E" w:rsidRPr="00822550" w:rsidRDefault="00EA448E">
            <w:pPr>
              <w:jc w:val="both"/>
              <w:rPr>
                <w:rFonts w:ascii="David" w:hAnsi="David"/>
                <w:sz w:val="26"/>
                <w:szCs w:val="26"/>
                <w:rtl/>
              </w:rPr>
            </w:pPr>
          </w:p>
        </w:tc>
        <w:tc>
          <w:tcPr>
            <w:tcW w:w="3219" w:type="dxa"/>
            <w:tcBorders>
              <w:top w:val="nil"/>
              <w:left w:val="nil"/>
              <w:bottom w:val="nil"/>
              <w:right w:val="nil"/>
            </w:tcBorders>
          </w:tcPr>
          <w:p w:rsidR="00EA448E" w:rsidRPr="00822550" w:rsidRDefault="00EA448E">
            <w:pPr>
              <w:jc w:val="both"/>
              <w:rPr>
                <w:rFonts w:ascii="David" w:hAnsi="David"/>
                <w:sz w:val="26"/>
                <w:szCs w:val="26"/>
                <w:rtl/>
              </w:rPr>
            </w:pPr>
            <w:r>
              <w:rPr>
                <w:rFonts w:ascii="David" w:hAnsi="David" w:hint="cs"/>
                <w:sz w:val="26"/>
                <w:szCs w:val="26"/>
                <w:rtl/>
              </w:rPr>
              <w:t>בשם המאשימה:</w:t>
            </w:r>
          </w:p>
        </w:tc>
        <w:tc>
          <w:tcPr>
            <w:tcW w:w="4678" w:type="dxa"/>
            <w:tcBorders>
              <w:top w:val="nil"/>
              <w:left w:val="nil"/>
              <w:bottom w:val="nil"/>
              <w:right w:val="nil"/>
            </w:tcBorders>
          </w:tcPr>
          <w:p w:rsidR="00EA448E" w:rsidRPr="00822550" w:rsidRDefault="00EA448E" w:rsidP="00EA448E">
            <w:pPr>
              <w:rPr>
                <w:rFonts w:ascii="David" w:hAnsi="David"/>
                <w:sz w:val="26"/>
                <w:szCs w:val="26"/>
              </w:rPr>
            </w:pPr>
            <w:r>
              <w:rPr>
                <w:rFonts w:ascii="David" w:hAnsi="David" w:hint="cs"/>
                <w:sz w:val="26"/>
                <w:szCs w:val="26"/>
                <w:rtl/>
              </w:rPr>
              <w:t>עו"ד שירה גרין; עו"ד אלונה דרורי אורעד</w:t>
            </w:r>
          </w:p>
        </w:tc>
      </w:tr>
      <w:tr w:rsidR="00EA448E" w:rsidRPr="00822550" w:rsidTr="000F2247">
        <w:trPr>
          <w:trHeight w:val="355"/>
          <w:jc w:val="center"/>
        </w:trPr>
        <w:tc>
          <w:tcPr>
            <w:tcW w:w="923" w:type="dxa"/>
            <w:tcBorders>
              <w:top w:val="nil"/>
              <w:left w:val="nil"/>
              <w:bottom w:val="nil"/>
              <w:right w:val="nil"/>
            </w:tcBorders>
          </w:tcPr>
          <w:p w:rsidR="00EA448E" w:rsidRPr="00822550" w:rsidRDefault="00EA448E">
            <w:pPr>
              <w:jc w:val="both"/>
              <w:rPr>
                <w:rFonts w:ascii="David" w:hAnsi="David"/>
                <w:sz w:val="26"/>
                <w:szCs w:val="26"/>
                <w:rtl/>
              </w:rPr>
            </w:pPr>
          </w:p>
        </w:tc>
        <w:tc>
          <w:tcPr>
            <w:tcW w:w="3219" w:type="dxa"/>
            <w:tcBorders>
              <w:top w:val="nil"/>
              <w:left w:val="nil"/>
              <w:bottom w:val="nil"/>
              <w:right w:val="nil"/>
            </w:tcBorders>
          </w:tcPr>
          <w:p w:rsidR="00EA448E" w:rsidRPr="00822550" w:rsidRDefault="00EA448E">
            <w:pPr>
              <w:jc w:val="both"/>
              <w:rPr>
                <w:rFonts w:ascii="David" w:hAnsi="David"/>
                <w:sz w:val="26"/>
                <w:szCs w:val="26"/>
                <w:rtl/>
              </w:rPr>
            </w:pPr>
          </w:p>
        </w:tc>
        <w:tc>
          <w:tcPr>
            <w:tcW w:w="4678" w:type="dxa"/>
            <w:tcBorders>
              <w:top w:val="nil"/>
              <w:left w:val="nil"/>
              <w:bottom w:val="nil"/>
              <w:right w:val="nil"/>
            </w:tcBorders>
          </w:tcPr>
          <w:p w:rsidR="00EA448E" w:rsidRPr="00822550" w:rsidRDefault="00EA448E">
            <w:pPr>
              <w:jc w:val="right"/>
              <w:rPr>
                <w:rFonts w:ascii="David" w:hAnsi="David"/>
                <w:sz w:val="26"/>
                <w:szCs w:val="26"/>
              </w:rPr>
            </w:pPr>
          </w:p>
        </w:tc>
      </w:tr>
      <w:tr w:rsidR="00EA448E" w:rsidRPr="00822550" w:rsidTr="000F2247">
        <w:trPr>
          <w:trHeight w:val="355"/>
          <w:jc w:val="center"/>
        </w:trPr>
        <w:tc>
          <w:tcPr>
            <w:tcW w:w="923" w:type="dxa"/>
            <w:tcBorders>
              <w:top w:val="nil"/>
              <w:left w:val="nil"/>
              <w:bottom w:val="nil"/>
              <w:right w:val="nil"/>
            </w:tcBorders>
          </w:tcPr>
          <w:p w:rsidR="00EA448E" w:rsidRPr="00822550" w:rsidRDefault="00EA448E">
            <w:pPr>
              <w:jc w:val="both"/>
              <w:rPr>
                <w:rFonts w:ascii="David" w:hAnsi="David"/>
                <w:sz w:val="26"/>
                <w:szCs w:val="26"/>
                <w:rtl/>
              </w:rPr>
            </w:pPr>
          </w:p>
        </w:tc>
        <w:tc>
          <w:tcPr>
            <w:tcW w:w="3219" w:type="dxa"/>
            <w:tcBorders>
              <w:top w:val="nil"/>
              <w:left w:val="nil"/>
              <w:bottom w:val="nil"/>
              <w:right w:val="nil"/>
            </w:tcBorders>
          </w:tcPr>
          <w:p w:rsidR="00EA448E" w:rsidRPr="00822550" w:rsidRDefault="00EA448E">
            <w:pPr>
              <w:jc w:val="both"/>
              <w:rPr>
                <w:rFonts w:ascii="David" w:hAnsi="David"/>
                <w:sz w:val="26"/>
                <w:szCs w:val="26"/>
                <w:rtl/>
              </w:rPr>
            </w:pPr>
            <w:r>
              <w:rPr>
                <w:rFonts w:ascii="David" w:hAnsi="David" w:hint="cs"/>
                <w:sz w:val="26"/>
                <w:szCs w:val="26"/>
                <w:rtl/>
              </w:rPr>
              <w:t>בשם הנאשם:</w:t>
            </w:r>
          </w:p>
        </w:tc>
        <w:tc>
          <w:tcPr>
            <w:tcW w:w="4678" w:type="dxa"/>
            <w:tcBorders>
              <w:top w:val="nil"/>
              <w:left w:val="nil"/>
              <w:bottom w:val="nil"/>
              <w:right w:val="nil"/>
            </w:tcBorders>
          </w:tcPr>
          <w:p w:rsidR="00EA448E" w:rsidRPr="00822550" w:rsidRDefault="00EA448E" w:rsidP="00EA448E">
            <w:pPr>
              <w:rPr>
                <w:rFonts w:ascii="David" w:hAnsi="David"/>
                <w:sz w:val="26"/>
                <w:szCs w:val="26"/>
              </w:rPr>
            </w:pPr>
            <w:r>
              <w:rPr>
                <w:rFonts w:ascii="David" w:hAnsi="David" w:hint="cs"/>
                <w:sz w:val="26"/>
                <w:szCs w:val="26"/>
                <w:rtl/>
              </w:rPr>
              <w:t>עו"ד דותן דניאלי</w:t>
            </w: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r w:rsidR="001B0768">
              <w:rPr>
                <w:rFonts w:ascii="David" w:hAnsi="David" w:hint="cs"/>
                <w:sz w:val="32"/>
                <w:szCs w:val="32"/>
                <w:u w:val="single"/>
                <w:rtl/>
              </w:rPr>
              <w:t>- נוסח מותר לפרסום</w:t>
            </w:r>
          </w:p>
        </w:tc>
      </w:tr>
    </w:tbl>
    <w:p w:rsidR="00507694" w:rsidRPr="000F2247" w:rsidRDefault="00507694">
      <w:pPr>
        <w:rPr>
          <w:rFonts w:ascii="Arial" w:hAnsi="Arial"/>
          <w:b/>
          <w:bCs/>
          <w:sz w:val="26"/>
          <w:szCs w:val="26"/>
          <w:rtl/>
        </w:rPr>
      </w:pPr>
    </w:p>
    <w:p w:rsidR="00E1430B" w:rsidRDefault="00E1430B" w:rsidP="00E1430B">
      <w:pPr>
        <w:keepNext/>
        <w:spacing w:after="240"/>
        <w:rPr>
          <w:rFonts w:cs="Miriam"/>
          <w:color w:val="000000"/>
        </w:rPr>
      </w:pPr>
      <w:r>
        <w:rPr>
          <w:rFonts w:cs="Miriam"/>
          <w:color w:val="000000"/>
          <w:rtl/>
        </w:rPr>
        <w:t>א. כללי</w:t>
      </w:r>
    </w:p>
    <w:p w:rsidR="00E1430B" w:rsidRDefault="00E1430B" w:rsidP="00E1430B">
      <w:pPr>
        <w:numPr>
          <w:ilvl w:val="0"/>
          <w:numId w:val="3"/>
        </w:numPr>
        <w:spacing w:after="240" w:line="360" w:lineRule="auto"/>
        <w:ind w:left="-7" w:firstLine="0"/>
        <w:jc w:val="both"/>
        <w:rPr>
          <w:rFonts w:cs="FrankRuehl"/>
          <w:color w:val="000000"/>
          <w:sz w:val="28"/>
          <w:szCs w:val="28"/>
        </w:rPr>
      </w:pPr>
      <w:r>
        <w:rPr>
          <w:rFonts w:cs="FrankRuehl"/>
          <w:color w:val="000000"/>
          <w:sz w:val="28"/>
          <w:szCs w:val="28"/>
          <w:rtl/>
        </w:rPr>
        <w:t>הנאשם הורשע בדין, לאחר שמיעת עדויות. הגיעה העת לגזור את עונשו.</w:t>
      </w:r>
    </w:p>
    <w:p w:rsidR="00E1430B" w:rsidRDefault="00E1430B" w:rsidP="00E1430B">
      <w:pPr>
        <w:keepNext/>
        <w:spacing w:after="240"/>
        <w:rPr>
          <w:rFonts w:cs="Miriam"/>
          <w:color w:val="000000"/>
          <w:rtl/>
        </w:rPr>
      </w:pPr>
      <w:r>
        <w:rPr>
          <w:rFonts w:cs="Miriam"/>
          <w:color w:val="000000"/>
          <w:rtl/>
        </w:rPr>
        <w:t>ב. המעשים שביצע הנאשם והעבירות שבהן הורשע</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ביום 22.5.23 הורשע הנאשם בעבירות רבות של מעשה מגונה</w:t>
      </w:r>
      <w:r>
        <w:rPr>
          <w:rFonts w:cs="FrankRuehl" w:hint="cs"/>
          <w:color w:val="000000"/>
          <w:sz w:val="28"/>
          <w:szCs w:val="28"/>
          <w:rtl/>
        </w:rPr>
        <w:t xml:space="preserve"> בקטינה שטרם מלאו לה שש עשרה ושלא בהסכמה חופשית</w:t>
      </w:r>
      <w:r>
        <w:rPr>
          <w:rFonts w:cs="FrankRuehl"/>
          <w:color w:val="000000"/>
          <w:sz w:val="28"/>
          <w:szCs w:val="28"/>
          <w:rtl/>
        </w:rPr>
        <w:t xml:space="preserve">, לפי סעיף 348(ב) בנסיבות שבסעיפים 345(ב)(1) וכן 345(א)(1) לחוק העונשין, התשל"ז-1977 (להלן: </w:t>
      </w:r>
      <w:r>
        <w:rPr>
          <w:rFonts w:cs="Miriam"/>
          <w:color w:val="000000"/>
          <w:rtl/>
        </w:rPr>
        <w:t>חוק</w:t>
      </w:r>
      <w:r>
        <w:rPr>
          <w:rFonts w:cs="FrankRuehl"/>
          <w:color w:val="000000"/>
          <w:sz w:val="28"/>
          <w:szCs w:val="28"/>
          <w:rtl/>
        </w:rPr>
        <w:t xml:space="preserve"> </w:t>
      </w:r>
      <w:r>
        <w:rPr>
          <w:rFonts w:cs="Miriam"/>
          <w:color w:val="000000"/>
          <w:rtl/>
        </w:rPr>
        <w:t xml:space="preserve">העונשין </w:t>
      </w:r>
      <w:r>
        <w:rPr>
          <w:rFonts w:cs="FrankRuehl"/>
          <w:color w:val="000000"/>
          <w:sz w:val="28"/>
          <w:szCs w:val="28"/>
          <w:rtl/>
        </w:rPr>
        <w:t>או</w:t>
      </w:r>
      <w:r>
        <w:rPr>
          <w:rFonts w:cs="Miriam"/>
          <w:color w:val="000000"/>
          <w:rtl/>
        </w:rPr>
        <w:t xml:space="preserve"> החוק</w:t>
      </w:r>
      <w:r>
        <w:rPr>
          <w:rFonts w:cs="FrankRuehl"/>
          <w:color w:val="000000"/>
          <w:sz w:val="28"/>
          <w:szCs w:val="28"/>
          <w:rtl/>
        </w:rPr>
        <w:t>). המעשים בוצעו בקטינה שהייתה חברה של בת הנאשם, ונהגה לבקר בבית המשפחה באופן תדיר, בהיותה כבת 13 עד 13.5 שנים.</w:t>
      </w:r>
    </w:p>
    <w:p w:rsidR="00E1430B" w:rsidRDefault="00E1430B" w:rsidP="00E1430B">
      <w:pPr>
        <w:tabs>
          <w:tab w:val="left" w:pos="702"/>
        </w:tabs>
        <w:spacing w:after="240" w:line="360" w:lineRule="auto"/>
        <w:ind w:left="-7"/>
        <w:jc w:val="both"/>
        <w:rPr>
          <w:rFonts w:cs="FrankRuehl"/>
          <w:color w:val="000000"/>
          <w:sz w:val="28"/>
          <w:szCs w:val="28"/>
        </w:rPr>
      </w:pPr>
      <w:r>
        <w:rPr>
          <w:rFonts w:cs="FrankRuehl"/>
          <w:color w:val="000000"/>
          <w:sz w:val="28"/>
          <w:szCs w:val="28"/>
          <w:rtl/>
        </w:rPr>
        <w:tab/>
        <w:t>נקבע כי במספר הזדמנויות שבהן התארחה הקטינה בבית משפחת הנאשם לסעודת שבת, הנאשם ישב מולה, הרים את רגליו מתחת לשולחן</w:t>
      </w:r>
      <w:r w:rsidR="00D21B77">
        <w:rPr>
          <w:rFonts w:cs="FrankRuehl" w:hint="cs"/>
          <w:color w:val="000000"/>
          <w:sz w:val="28"/>
          <w:szCs w:val="28"/>
          <w:rtl/>
        </w:rPr>
        <w:t xml:space="preserve"> הסעודה</w:t>
      </w:r>
      <w:r>
        <w:rPr>
          <w:rFonts w:cs="FrankRuehl"/>
          <w:color w:val="000000"/>
          <w:sz w:val="28"/>
          <w:szCs w:val="28"/>
          <w:rtl/>
        </w:rPr>
        <w:t>, והניחן על ירכיה למשך מספר דקות.</w:t>
      </w:r>
    </w:p>
    <w:p w:rsidR="00E1430B" w:rsidRDefault="00E1430B" w:rsidP="00E1430B">
      <w:pPr>
        <w:tabs>
          <w:tab w:val="left" w:pos="702"/>
        </w:tabs>
        <w:spacing w:after="240" w:line="360" w:lineRule="auto"/>
        <w:ind w:left="-7"/>
        <w:jc w:val="both"/>
        <w:rPr>
          <w:rFonts w:cs="FrankRuehl"/>
          <w:color w:val="000000"/>
          <w:sz w:val="28"/>
          <w:szCs w:val="28"/>
        </w:rPr>
      </w:pPr>
      <w:r>
        <w:rPr>
          <w:rFonts w:cs="FrankRuehl"/>
          <w:color w:val="000000"/>
          <w:sz w:val="28"/>
          <w:szCs w:val="28"/>
          <w:rtl/>
        </w:rPr>
        <w:lastRenderedPageBreak/>
        <w:tab/>
        <w:t>עוד נקבע כי בהזדמנות נוספת במהלך שנת 2020, בעת שהקטינה, הנאשם וילדיו ישבו סביב שולחן ושיחקו במשחק, התקרב הנאשם עם כסאו לעבר הקטינה ולחש לה "בואי בואי". הקטינה לא נענתה, ואז נגע הנאשם בירכהּ והגיע למקום שבו היה קרע בגרביון שגרבה. הנאשם הכניס את אצבעו לתוך הקרע</w:t>
      </w:r>
      <w:r w:rsidR="00D21B77">
        <w:rPr>
          <w:rFonts w:cs="FrankRuehl" w:hint="cs"/>
          <w:color w:val="000000"/>
          <w:sz w:val="28"/>
          <w:szCs w:val="28"/>
          <w:rtl/>
        </w:rPr>
        <w:t>,</w:t>
      </w:r>
      <w:r>
        <w:rPr>
          <w:rFonts w:cs="FrankRuehl"/>
          <w:color w:val="000000"/>
          <w:sz w:val="28"/>
          <w:szCs w:val="28"/>
          <w:rtl/>
        </w:rPr>
        <w:t xml:space="preserve"> והניע את ידו בתנועה מעגלית. הקטינה קפאה תחילה, ולאחר כדקה קמה ואמרה שעליה לשוב לביתה.</w:t>
      </w:r>
    </w:p>
    <w:p w:rsidR="00E1430B" w:rsidRDefault="00E1430B" w:rsidP="00D21B77">
      <w:pPr>
        <w:tabs>
          <w:tab w:val="left" w:pos="702"/>
        </w:tabs>
        <w:spacing w:after="240" w:line="360" w:lineRule="auto"/>
        <w:ind w:left="-7"/>
        <w:jc w:val="both"/>
        <w:rPr>
          <w:rFonts w:cs="FrankRuehl"/>
          <w:color w:val="000000"/>
          <w:sz w:val="28"/>
          <w:szCs w:val="28"/>
        </w:rPr>
      </w:pPr>
      <w:r>
        <w:rPr>
          <w:rFonts w:cs="FrankRuehl"/>
          <w:color w:val="000000"/>
          <w:sz w:val="28"/>
          <w:szCs w:val="28"/>
          <w:rtl/>
        </w:rPr>
        <w:tab/>
        <w:t>כמו כן נקבע כי מספר חודשים לאחר מכן, התיישב הנאשם על הספה בין ילדיו לבין הקטינה, ובעודו משוחח עמה נגע בגבה מעל לבגדיה בתנועות סיבוביות. כדי להפסיק את המעשים קראה הקטינה לבנו הצעיר של הנאשם לבוא לשבת לידה, אולם כאשר הבן קם חזר הנאשם על מעשיו. כדי להפסיקם קמה הקטינה מן הספה והציעה לחברתה ולאחיה לשחק. בתום המשחק שטפה הקטינה כלים, ואז ניגש אליה הנאשם מאחור, החזיק במותניה ושאל אותה בלחש האם מה שהוא עושה נעים לה, באומרו כי אחרת יוכל להפסיק. הקטינה קפאה, והנאשם חזר על שאלתו שוב ושוב וביקש ממנה להשיב בראשה. בתגובה הקטינה הנהנה והלכה.</w:t>
      </w:r>
    </w:p>
    <w:p w:rsidR="00E1430B" w:rsidRDefault="00E1430B" w:rsidP="00E1430B">
      <w:pPr>
        <w:keepNext/>
        <w:spacing w:after="240"/>
        <w:rPr>
          <w:rFonts w:cs="Miriam"/>
          <w:color w:val="000000"/>
        </w:rPr>
      </w:pPr>
      <w:r>
        <w:rPr>
          <w:rFonts w:cs="Miriam"/>
          <w:color w:val="000000"/>
          <w:rtl/>
        </w:rPr>
        <w:t>ג. הראיות לעניין העונש</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המאשימה הגישה תדפיס מידע פלילי בעניינו של הנאשם, שממנו עלה כי בשנת 2011 הוא הורשע בגרימת מוות ברשלנות, והוטל עליו עונש של שירות לתועלת הציבור וכן מאסר על תנאי.</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bookmarkStart w:id="1" w:name="_Ref171600625"/>
      <w:r>
        <w:rPr>
          <w:rFonts w:cs="FrankRuehl"/>
          <w:color w:val="000000"/>
          <w:sz w:val="28"/>
          <w:szCs w:val="28"/>
          <w:rtl/>
        </w:rPr>
        <w:t>כמו כן לבקשת המאשימה הוגש תסקיר המתייחס למצבה של הקטינה. על מנת שלא לפגוע בפרטיות הקטינה מעבר לנדרש, אביא מן האמור בו בתמצית.</w:t>
      </w:r>
      <w:bookmarkEnd w:id="1"/>
    </w:p>
    <w:p w:rsidR="00C230C9" w:rsidRDefault="00C230C9" w:rsidP="00DE1DDD">
      <w:pPr>
        <w:tabs>
          <w:tab w:val="left" w:pos="702"/>
        </w:tabs>
        <w:spacing w:after="240" w:line="360" w:lineRule="auto"/>
        <w:ind w:left="-7"/>
        <w:jc w:val="both"/>
        <w:rPr>
          <w:rFonts w:cs="FrankRuehl"/>
          <w:color w:val="000000"/>
          <w:sz w:val="28"/>
          <w:szCs w:val="28"/>
          <w:rtl/>
        </w:rPr>
      </w:pPr>
      <w:r>
        <w:rPr>
          <w:rFonts w:cs="FrankRuehl"/>
          <w:color w:val="000000"/>
          <w:sz w:val="28"/>
          <w:szCs w:val="28"/>
          <w:rtl/>
        </w:rPr>
        <w:tab/>
      </w:r>
      <w:r w:rsidR="001B0768">
        <w:rPr>
          <w:rFonts w:cs="FrankRuehl" w:hint="cs"/>
          <w:color w:val="000000"/>
          <w:sz w:val="28"/>
          <w:szCs w:val="28"/>
        </w:rPr>
        <w:t>XXXXXXXXXXX</w:t>
      </w:r>
      <w:r w:rsidR="001B0768">
        <w:rPr>
          <w:rFonts w:cs="FrankRuehl" w:hint="cs"/>
          <w:color w:val="000000"/>
          <w:sz w:val="28"/>
          <w:szCs w:val="28"/>
          <w:rtl/>
        </w:rPr>
        <w:t xml:space="preserve"> </w:t>
      </w:r>
      <w:r>
        <w:rPr>
          <w:rFonts w:cs="FrankRuehl" w:hint="cs"/>
          <w:color w:val="000000"/>
          <w:sz w:val="28"/>
          <w:szCs w:val="28"/>
          <w:rtl/>
        </w:rPr>
        <w:t>[</w:t>
      </w:r>
      <w:r w:rsidRPr="001B0768">
        <w:rPr>
          <w:rFonts w:cs="FrankRuehl" w:hint="cs"/>
          <w:color w:val="000000"/>
          <w:sz w:val="28"/>
          <w:szCs w:val="28"/>
          <w:rtl/>
        </w:rPr>
        <w:t>הושמטו מספר משפטים</w:t>
      </w:r>
      <w:r>
        <w:rPr>
          <w:rFonts w:cs="FrankRuehl" w:hint="cs"/>
          <w:color w:val="000000"/>
          <w:sz w:val="28"/>
          <w:szCs w:val="28"/>
          <w:rtl/>
        </w:rPr>
        <w:t>]</w:t>
      </w:r>
    </w:p>
    <w:p w:rsidR="00E1430B" w:rsidRDefault="00C230C9" w:rsidP="00DE1DDD">
      <w:pPr>
        <w:tabs>
          <w:tab w:val="left" w:pos="702"/>
        </w:tabs>
        <w:spacing w:after="240" w:line="360" w:lineRule="auto"/>
        <w:ind w:left="-7"/>
        <w:jc w:val="both"/>
        <w:rPr>
          <w:rFonts w:cs="FrankRuehl"/>
          <w:color w:val="000000"/>
          <w:sz w:val="28"/>
          <w:szCs w:val="28"/>
        </w:rPr>
      </w:pPr>
      <w:r>
        <w:rPr>
          <w:rFonts w:cs="FrankRuehl"/>
          <w:color w:val="000000"/>
          <w:sz w:val="28"/>
          <w:szCs w:val="28"/>
          <w:rtl/>
        </w:rPr>
        <w:lastRenderedPageBreak/>
        <w:tab/>
      </w:r>
      <w:r w:rsidR="00E1430B">
        <w:rPr>
          <w:rFonts w:cs="FrankRuehl"/>
          <w:color w:val="000000"/>
          <w:sz w:val="28"/>
          <w:szCs w:val="28"/>
          <w:rtl/>
        </w:rPr>
        <w:t>הקטינה הוסיפה וסיפרה כי נוכח עמדת הנאשם, שגם כעת מכחיש את המעשים ו</w:t>
      </w:r>
      <w:r w:rsidR="00B41B18">
        <w:rPr>
          <w:rFonts w:cs="FrankRuehl" w:hint="cs"/>
          <w:color w:val="000000"/>
          <w:sz w:val="28"/>
          <w:szCs w:val="28"/>
          <w:rtl/>
        </w:rPr>
        <w:t xml:space="preserve">לדבריה </w:t>
      </w:r>
      <w:r w:rsidR="00E1430B">
        <w:rPr>
          <w:rFonts w:cs="FrankRuehl"/>
          <w:color w:val="000000"/>
          <w:sz w:val="28"/>
          <w:szCs w:val="28"/>
          <w:rtl/>
        </w:rPr>
        <w:t xml:space="preserve">טוען </w:t>
      </w:r>
      <w:r w:rsidR="00D21B77">
        <w:rPr>
          <w:rFonts w:cs="FrankRuehl" w:hint="cs"/>
          <w:color w:val="000000"/>
          <w:sz w:val="28"/>
          <w:szCs w:val="28"/>
          <w:rtl/>
        </w:rPr>
        <w:t>בפנ</w:t>
      </w:r>
      <w:r w:rsidR="00DE1DDD">
        <w:rPr>
          <w:rFonts w:cs="FrankRuehl" w:hint="cs"/>
          <w:color w:val="000000"/>
          <w:sz w:val="28"/>
          <w:szCs w:val="28"/>
          <w:rtl/>
        </w:rPr>
        <w:t xml:space="preserve">י תושבי היישוב </w:t>
      </w:r>
      <w:r w:rsidR="00E1430B">
        <w:rPr>
          <w:rFonts w:cs="FrankRuehl"/>
          <w:color w:val="000000"/>
          <w:sz w:val="28"/>
          <w:szCs w:val="28"/>
          <w:rtl/>
        </w:rPr>
        <w:t>שהיא משקרת, היא נאלצת להתמודד עם שמועות ביישוב כאילו העלילה עליו עלילת שווא, וביקשה שהנאשם יורחק ממנה ומן היישוב.</w:t>
      </w:r>
    </w:p>
    <w:p w:rsidR="00E1430B" w:rsidRDefault="00E1430B" w:rsidP="00E1430B">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אמה של הקטינה ציינה אף היא את הקושי הנגרם לקטינה ולבני המשפחה ביישוב מגוריהם, בשל כך שגם כעת הנאשם אינו מקבל אחריות על מעשיו וטוען לעלילה. האם סיפרה כי הקטינה איבדה חברים רבים, וכדי להתרחק מן היישוב ומן השמועות הרגישה צורך לעבור ללמוד במקום מרוחק שבו איש אינו מכיר אותה. האם הוסיפה כי הפיצוי הטוב ביותר עבור הקטינה יהיה התנצלות הנאשם והפרכת השמועות כאילו שיקרה, אולם אם יסרב היא ביקשה שייפסק נגדו פיצוי כספי "כדרך לגרום לו לקחת אחריות על מעשיו".</w:t>
      </w:r>
    </w:p>
    <w:p w:rsidR="00E1430B" w:rsidRDefault="00E1430B" w:rsidP="00C230C9">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מטעם הנאשם העידה רעייתו, אשר סיפרה על ההשלכות הניכרות של ההליך על המשפחה כולה: הנאשם פוטר מעבודתו ב</w:t>
      </w:r>
      <w:r w:rsidR="00C230C9">
        <w:rPr>
          <w:rFonts w:cs="FrankRuehl" w:hint="cs"/>
          <w:color w:val="000000"/>
          <w:sz w:val="28"/>
          <w:szCs w:val="28"/>
          <w:rtl/>
        </w:rPr>
        <w:t>-</w:t>
      </w:r>
      <w:r w:rsidR="00C230C9">
        <w:rPr>
          <w:rFonts w:cs="FrankRuehl" w:hint="cs"/>
          <w:color w:val="000000"/>
          <w:sz w:val="28"/>
          <w:szCs w:val="28"/>
        </w:rPr>
        <w:t>XXXX</w:t>
      </w:r>
      <w:r>
        <w:rPr>
          <w:rFonts w:cs="FrankRuehl"/>
          <w:color w:val="000000"/>
          <w:sz w:val="28"/>
          <w:szCs w:val="28"/>
          <w:rtl/>
        </w:rPr>
        <w:t>, שם שירת שנים ארוכות כ</w:t>
      </w:r>
      <w:r w:rsidR="00C230C9">
        <w:rPr>
          <w:rFonts w:cs="FrankRuehl" w:hint="cs"/>
          <w:color w:val="000000"/>
          <w:sz w:val="28"/>
          <w:szCs w:val="28"/>
          <w:rtl/>
        </w:rPr>
        <w:t>-</w:t>
      </w:r>
      <w:r w:rsidR="00C230C9">
        <w:rPr>
          <w:rFonts w:cs="FrankRuehl" w:hint="cs"/>
          <w:color w:val="000000"/>
          <w:sz w:val="28"/>
          <w:szCs w:val="28"/>
        </w:rPr>
        <w:t>XXX</w:t>
      </w:r>
      <w:r>
        <w:rPr>
          <w:rFonts w:cs="FrankRuehl"/>
          <w:color w:val="000000"/>
          <w:sz w:val="28"/>
          <w:szCs w:val="28"/>
          <w:rtl/>
        </w:rPr>
        <w:t xml:space="preserve"> ואף שימש בתפקיד פיקודי; וגם ילדיו סובלים מקשיים שונים, כמפורט בפרוטוקול. כמו כן ציינה רעיית הנאשם את הקושי המשפחתי בשל שירותו הממושך של הנאשם במילואים החל מיום 7.10.23 (שירות שהביא גם</w:t>
      </w:r>
      <w:r w:rsidR="007B25E2">
        <w:rPr>
          <w:rFonts w:cs="FrankRuehl"/>
          <w:color w:val="000000"/>
          <w:sz w:val="28"/>
          <w:szCs w:val="28"/>
          <w:rtl/>
        </w:rPr>
        <w:t xml:space="preserve"> לדחיית השלמת הליך גזירת הדין).</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הנאשם הגיש מכתבים של שני ילדיו הגדולים, אשר התייחסו לאי סבירות גרסת הקטינה, לשיטתם. בן הנאשם התייחס גם לקשיים שההליך הסב למשפחה כולה (מוצג נ/8).</w:t>
      </w:r>
    </w:p>
    <w:p w:rsidR="00E1430B" w:rsidRDefault="00E1430B" w:rsidP="00C230C9">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עוד הגיש הנאשם מכתב ממזכיר היישוב מיום 4.2.21, שם צוין כי הנאשם מתנדב בקביעות ביישוב לרבות כחבר כיתת הכוננות, ונכללה התייחסות לתכונותיו הטובות. הוגשו גם מכתבים ותעודות ההערכה מטעם </w:t>
      </w:r>
      <w:r w:rsidR="00C230C9">
        <w:rPr>
          <w:rFonts w:cs="FrankRuehl" w:hint="cs"/>
          <w:color w:val="000000"/>
          <w:sz w:val="28"/>
          <w:szCs w:val="28"/>
        </w:rPr>
        <w:t>XXXX</w:t>
      </w:r>
      <w:r w:rsidR="00C230C9">
        <w:rPr>
          <w:rFonts w:cs="FrankRuehl" w:hint="cs"/>
          <w:color w:val="000000"/>
          <w:sz w:val="28"/>
          <w:szCs w:val="28"/>
          <w:rtl/>
        </w:rPr>
        <w:t xml:space="preserve"> [מקום העבודה]</w:t>
      </w:r>
      <w:r>
        <w:rPr>
          <w:rFonts w:cs="FrankRuehl"/>
          <w:color w:val="000000"/>
          <w:sz w:val="28"/>
          <w:szCs w:val="28"/>
          <w:rtl/>
        </w:rPr>
        <w:t xml:space="preserve"> (מוצג נ/8).</w:t>
      </w:r>
    </w:p>
    <w:p w:rsidR="00E1430B" w:rsidRDefault="00E1430B" w:rsidP="00DE1DDD">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lastRenderedPageBreak/>
        <w:t xml:space="preserve">יצוין כי הנאשם לא עתר </w:t>
      </w:r>
      <w:r w:rsidR="00DE1DDD">
        <w:rPr>
          <w:rFonts w:cs="FrankRuehl" w:hint="cs"/>
          <w:color w:val="000000"/>
          <w:sz w:val="28"/>
          <w:szCs w:val="28"/>
          <w:rtl/>
        </w:rPr>
        <w:t>לעריכת תסקיר מטעם שירות המבחן</w:t>
      </w:r>
      <w:r>
        <w:rPr>
          <w:rFonts w:cs="FrankRuehl"/>
          <w:color w:val="000000"/>
          <w:sz w:val="28"/>
          <w:szCs w:val="28"/>
          <w:rtl/>
        </w:rPr>
        <w:t>.</w:t>
      </w:r>
    </w:p>
    <w:p w:rsidR="00E1430B" w:rsidRDefault="00E1430B" w:rsidP="00E1430B">
      <w:pPr>
        <w:keepNext/>
        <w:spacing w:after="240"/>
        <w:jc w:val="both"/>
        <w:rPr>
          <w:rFonts w:cs="Miriam"/>
          <w:color w:val="000000"/>
        </w:rPr>
      </w:pPr>
      <w:r>
        <w:rPr>
          <w:rFonts w:cs="Miriam"/>
          <w:color w:val="000000"/>
          <w:rtl/>
        </w:rPr>
        <w:t>ד. טענות הצדדים לעניין העונש</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הצדדים הגישו עיקרי טיעון בכתב, וכן טענו בעל פה.</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המאשימה טוענת כי לצורך קביעת מתחם העונש ההולם יש להבחין בין המעשים שביצע הנאשם בשני האישומים, שכל אחד מהם מהווה "אירוע" בפני עצמו. מתחם העונש ההולם לכל אחד מהאירועים עומד, לטענת המאשימה, על בין 18 ל-36 חודשי מאסר בפועל לצד מאסר על תנאי, פיצוי וקנס. לשיטת המאשימה, העונש המתאים לנאשם הוא מאסר בפועל ברובד האמצעי של שני המתחמים.</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מבחינת נסיבות הקשורות בביצוע העבירות, המאשימה מדגישה את ריבוי האירועים ואת הנזק המשמעותי שנגרם לקטינה כעולה מן התסקיר בעניינה. המאשימה מדגישה גם את הניצול שניצל הנאשם את פער הגילים בינו לבין הקטינה, תוך שימוש בקרבתה אליו כאביה של חברתה הטובה ובתחושת הביטחון שחשה במרחב של ביתם, והכל לצורך סיפוק יצריו המיניים. לטענת המאשימה, הפגיעה בערכים החברתיים מצד הנאשם הייתה במידה בינונית.</w:t>
      </w:r>
    </w:p>
    <w:p w:rsidR="00E1430B" w:rsidRDefault="00E1430B" w:rsidP="00DE1DDD">
      <w:pPr>
        <w:tabs>
          <w:tab w:val="left" w:pos="702"/>
        </w:tabs>
        <w:spacing w:after="240" w:line="360" w:lineRule="auto"/>
        <w:ind w:left="-7"/>
        <w:jc w:val="both"/>
        <w:rPr>
          <w:rFonts w:cs="FrankRuehl"/>
          <w:color w:val="000000"/>
          <w:sz w:val="28"/>
          <w:szCs w:val="28"/>
        </w:rPr>
      </w:pPr>
      <w:r>
        <w:rPr>
          <w:rFonts w:cs="FrankRuehl"/>
          <w:color w:val="000000"/>
          <w:sz w:val="28"/>
          <w:szCs w:val="28"/>
          <w:rtl/>
        </w:rPr>
        <w:tab/>
        <w:t xml:space="preserve">מבחינת נסיבות שאינן קשורות בביצוע העבירות </w:t>
      </w:r>
      <w:r w:rsidR="00DE1DDD">
        <w:rPr>
          <w:rFonts w:cs="FrankRuehl" w:hint="cs"/>
          <w:color w:val="000000"/>
          <w:sz w:val="28"/>
          <w:szCs w:val="28"/>
          <w:rtl/>
        </w:rPr>
        <w:t>מ</w:t>
      </w:r>
      <w:r>
        <w:rPr>
          <w:rFonts w:cs="FrankRuehl"/>
          <w:color w:val="000000"/>
          <w:sz w:val="28"/>
          <w:szCs w:val="28"/>
          <w:rtl/>
        </w:rPr>
        <w:t>ציינ</w:t>
      </w:r>
      <w:r w:rsidR="00DE1DDD">
        <w:rPr>
          <w:rFonts w:cs="FrankRuehl" w:hint="cs"/>
          <w:color w:val="000000"/>
          <w:sz w:val="28"/>
          <w:szCs w:val="28"/>
          <w:rtl/>
        </w:rPr>
        <w:t>ת</w:t>
      </w:r>
      <w:r>
        <w:rPr>
          <w:rFonts w:cs="FrankRuehl"/>
          <w:color w:val="000000"/>
          <w:sz w:val="28"/>
          <w:szCs w:val="28"/>
          <w:rtl/>
        </w:rPr>
        <w:t xml:space="preserve"> המאשימה את עברו הפלילי של הנאשם, ואת העובדה שאין לזקוף לזכותו לקיחת אחריות כלשהי. כמו כן </w:t>
      </w:r>
      <w:r w:rsidR="00DE1DDD">
        <w:rPr>
          <w:rFonts w:cs="FrankRuehl" w:hint="cs"/>
          <w:color w:val="000000"/>
          <w:sz w:val="28"/>
          <w:szCs w:val="28"/>
          <w:rtl/>
        </w:rPr>
        <w:t>מ</w:t>
      </w:r>
      <w:r>
        <w:rPr>
          <w:rFonts w:cs="FrankRuehl"/>
          <w:color w:val="000000"/>
          <w:sz w:val="28"/>
          <w:szCs w:val="28"/>
          <w:rtl/>
        </w:rPr>
        <w:t>ציינ</w:t>
      </w:r>
      <w:r w:rsidR="00DE1DDD">
        <w:rPr>
          <w:rFonts w:cs="FrankRuehl" w:hint="cs"/>
          <w:color w:val="000000"/>
          <w:sz w:val="28"/>
          <w:szCs w:val="28"/>
          <w:rtl/>
        </w:rPr>
        <w:t>ת</w:t>
      </w:r>
      <w:r>
        <w:rPr>
          <w:rFonts w:cs="FrankRuehl"/>
          <w:color w:val="000000"/>
          <w:sz w:val="28"/>
          <w:szCs w:val="28"/>
          <w:rtl/>
        </w:rPr>
        <w:t xml:space="preserve"> המאשימה את הצורך בהרתעה אישית ובהרתעת הרבים</w:t>
      </w:r>
      <w:r w:rsidR="00DE1DDD">
        <w:rPr>
          <w:rFonts w:cs="FrankRuehl" w:hint="cs"/>
          <w:color w:val="000000"/>
          <w:sz w:val="28"/>
          <w:szCs w:val="28"/>
          <w:rtl/>
        </w:rPr>
        <w:t>,</w:t>
      </w:r>
      <w:r>
        <w:rPr>
          <w:rFonts w:cs="FrankRuehl"/>
          <w:color w:val="000000"/>
          <w:sz w:val="28"/>
          <w:szCs w:val="28"/>
          <w:rtl/>
        </w:rPr>
        <w:t xml:space="preserve"> </w:t>
      </w:r>
      <w:r w:rsidR="00DE1DDD">
        <w:rPr>
          <w:rFonts w:cs="FrankRuehl" w:hint="cs"/>
          <w:color w:val="000000"/>
          <w:sz w:val="28"/>
          <w:szCs w:val="28"/>
          <w:rtl/>
        </w:rPr>
        <w:t xml:space="preserve">וזאת </w:t>
      </w:r>
      <w:r>
        <w:rPr>
          <w:rFonts w:cs="FrankRuehl"/>
          <w:color w:val="000000"/>
          <w:sz w:val="28"/>
          <w:szCs w:val="28"/>
          <w:rtl/>
        </w:rPr>
        <w:t xml:space="preserve">נוכח ריבויין של עבירות מין בכלל ועבירות מין בקטינים בפרט </w:t>
      </w:r>
      <w:r w:rsidR="00DE1DDD">
        <w:rPr>
          <w:rFonts w:cs="FrankRuehl" w:hint="cs"/>
          <w:color w:val="000000"/>
          <w:sz w:val="28"/>
          <w:szCs w:val="28"/>
          <w:rtl/>
        </w:rPr>
        <w:t xml:space="preserve">אל מול </w:t>
      </w:r>
      <w:r>
        <w:rPr>
          <w:rFonts w:cs="FrankRuehl"/>
          <w:color w:val="000000"/>
          <w:sz w:val="28"/>
          <w:szCs w:val="28"/>
          <w:rtl/>
        </w:rPr>
        <w:t>הקושי בחשיפתן.</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lastRenderedPageBreak/>
        <w:t>בא כוח הנאשם טוען, מצדו, כי יש לקבוע מתחם עונש הולם אחד למעשי הנאשם, העומד על בין מספר חודשי מאסר שירוצו בדרך של עבודות שירות ל-16 חודשי מאסר. לטענתו, העונש המתאים לנאשם הוא מאסר שירוצה בדרך של עבודות שירות.</w:t>
      </w:r>
    </w:p>
    <w:p w:rsidR="00E1430B" w:rsidRDefault="00E1430B" w:rsidP="00E1430B">
      <w:pPr>
        <w:tabs>
          <w:tab w:val="left" w:pos="702"/>
        </w:tabs>
        <w:spacing w:after="240" w:line="360" w:lineRule="auto"/>
        <w:ind w:left="-7"/>
        <w:jc w:val="both"/>
        <w:rPr>
          <w:rFonts w:cs="FrankRuehl"/>
          <w:color w:val="000000"/>
          <w:sz w:val="28"/>
          <w:szCs w:val="28"/>
        </w:rPr>
      </w:pPr>
      <w:r>
        <w:rPr>
          <w:rFonts w:cs="FrankRuehl"/>
          <w:color w:val="000000"/>
          <w:sz w:val="28"/>
          <w:szCs w:val="28"/>
          <w:rtl/>
        </w:rPr>
        <w:tab/>
        <w:t>מבחינת נסיבות הקשורות בביצוע העבירות טוען בא כוח הנאשם כי המעשים לא כללו נגיעות באברי מין או באברים אינטימיים במיוחד, וכי הנחת הרגליים "נושקת לזוטי דברים", כלשונו.</w:t>
      </w:r>
    </w:p>
    <w:p w:rsidR="00E1430B" w:rsidRDefault="00E1430B" w:rsidP="00C230C9">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מבחינת נסיבות שאינן קשורות בביצוע העבירות טוען בא כוח הנאשם כי עברו הפלילי של הנאשם אינו רלוונטי להרשעה שכאן, ונבע מאירוע שהתרחש בעת שהוא ביצע פעילות ביטחונית; כי הוא שירת את המדינה במשך שנים ארוכות כ</w:t>
      </w:r>
      <w:r w:rsidR="00C230C9">
        <w:rPr>
          <w:rFonts w:cs="FrankRuehl" w:hint="cs"/>
          <w:color w:val="000000"/>
          <w:sz w:val="28"/>
          <w:szCs w:val="28"/>
          <w:rtl/>
        </w:rPr>
        <w:t>-</w:t>
      </w:r>
      <w:r w:rsidR="00C230C9">
        <w:rPr>
          <w:rFonts w:cs="FrankRuehl" w:hint="cs"/>
          <w:color w:val="000000"/>
          <w:sz w:val="28"/>
          <w:szCs w:val="28"/>
        </w:rPr>
        <w:t>XXXX</w:t>
      </w:r>
      <w:r>
        <w:rPr>
          <w:rFonts w:cs="FrankRuehl"/>
          <w:color w:val="000000"/>
          <w:sz w:val="28"/>
          <w:szCs w:val="28"/>
          <w:rtl/>
        </w:rPr>
        <w:t xml:space="preserve">; כי בשל הרשעתו הוא פוטר מעבודתו ומשפחתו נפגעה; וכי מאז ביצוע המעשים חלפו כארבע שנים. עוד צוין כי עונש של מאסר בפועל יפגע עוד יותר במשפחת הנאשם; וגם תנאי כליאתו של הנאשם צפויים להיות קשים, שכן </w:t>
      </w:r>
      <w:r w:rsidR="00DE1DDD">
        <w:rPr>
          <w:rFonts w:cs="FrankRuehl" w:hint="cs"/>
          <w:color w:val="000000"/>
          <w:sz w:val="28"/>
          <w:szCs w:val="28"/>
          <w:rtl/>
        </w:rPr>
        <w:t>כ</w:t>
      </w:r>
      <w:r w:rsidR="00C230C9">
        <w:rPr>
          <w:rFonts w:cs="FrankRuehl" w:hint="cs"/>
          <w:color w:val="000000"/>
          <w:sz w:val="28"/>
          <w:szCs w:val="28"/>
          <w:rtl/>
        </w:rPr>
        <w:t>-</w:t>
      </w:r>
      <w:r w:rsidR="00C230C9">
        <w:rPr>
          <w:rFonts w:cs="FrankRuehl" w:hint="cs"/>
          <w:color w:val="000000"/>
          <w:sz w:val="28"/>
          <w:szCs w:val="28"/>
        </w:rPr>
        <w:t>XXX</w:t>
      </w:r>
      <w:r w:rsidR="00DE1DDD">
        <w:rPr>
          <w:rFonts w:cs="FrankRuehl" w:hint="cs"/>
          <w:color w:val="000000"/>
          <w:sz w:val="28"/>
          <w:szCs w:val="28"/>
          <w:rtl/>
        </w:rPr>
        <w:t xml:space="preserve"> </w:t>
      </w:r>
      <w:r>
        <w:rPr>
          <w:rFonts w:cs="FrankRuehl"/>
          <w:color w:val="000000"/>
          <w:sz w:val="28"/>
          <w:szCs w:val="28"/>
          <w:rtl/>
        </w:rPr>
        <w:t>הוא צפוי להיכלא בבידוד לצורך שמירה על בטחונו האישי. בא כוח הנאשם טוען גם כי חקירתה הנגדית של הקטינה נוהלה בצורה עדינה ככל הניתן, כדי לצמצם את הפגיעה הכרוכה בה. כמו כן מדגיש בא כוח הנאשם כי מאז השבעה באוקטובר משרת הנאשם במילואים</w:t>
      </w:r>
      <w:r w:rsidR="00F44137">
        <w:rPr>
          <w:rFonts w:cs="FrankRuehl" w:hint="cs"/>
          <w:color w:val="000000"/>
          <w:sz w:val="28"/>
          <w:szCs w:val="28"/>
          <w:rtl/>
        </w:rPr>
        <w:t>;</w:t>
      </w:r>
      <w:r>
        <w:rPr>
          <w:rFonts w:cs="FrankRuehl"/>
          <w:color w:val="000000"/>
          <w:sz w:val="28"/>
          <w:szCs w:val="28"/>
          <w:rtl/>
        </w:rPr>
        <w:t xml:space="preserve"> כי הוא איבד חברים קרובים (שלא במסגרת שירות המילואים)</w:t>
      </w:r>
      <w:r w:rsidR="00F44137">
        <w:rPr>
          <w:rFonts w:cs="FrankRuehl" w:hint="cs"/>
          <w:color w:val="000000"/>
          <w:sz w:val="28"/>
          <w:szCs w:val="28"/>
          <w:rtl/>
        </w:rPr>
        <w:t>;</w:t>
      </w:r>
      <w:r>
        <w:rPr>
          <w:rFonts w:cs="FrankRuehl"/>
          <w:color w:val="000000"/>
          <w:sz w:val="28"/>
          <w:szCs w:val="28"/>
          <w:rtl/>
        </w:rPr>
        <w:t xml:space="preserve"> וכי הוא מבקש להמשיך ולשרת את המדינה.</w:t>
      </w:r>
    </w:p>
    <w:p w:rsidR="00E1430B" w:rsidRDefault="00E1430B" w:rsidP="00F44137">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נטען גם כי הפסיקה שאליה הפנתה המאשימה אינה תומכת במתחם העונש ש</w:t>
      </w:r>
      <w:r w:rsidR="00F44137">
        <w:rPr>
          <w:rFonts w:cs="FrankRuehl" w:hint="cs"/>
          <w:color w:val="000000"/>
          <w:sz w:val="28"/>
          <w:szCs w:val="28"/>
          <w:rtl/>
        </w:rPr>
        <w:t>לו עתרה</w:t>
      </w:r>
      <w:r>
        <w:rPr>
          <w:rFonts w:cs="FrankRuehl"/>
          <w:color w:val="000000"/>
          <w:sz w:val="28"/>
          <w:szCs w:val="28"/>
          <w:rtl/>
        </w:rPr>
        <w:t>.</w:t>
      </w:r>
    </w:p>
    <w:p w:rsidR="00E1430B" w:rsidRDefault="00E1430B" w:rsidP="001B0768">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הנאשם עצמו שב </w:t>
      </w:r>
      <w:r w:rsidR="00F44137">
        <w:rPr>
          <w:rFonts w:cs="FrankRuehl" w:hint="cs"/>
          <w:color w:val="000000"/>
          <w:sz w:val="28"/>
          <w:szCs w:val="28"/>
          <w:rtl/>
        </w:rPr>
        <w:t xml:space="preserve">על עמדתו </w:t>
      </w:r>
      <w:r>
        <w:rPr>
          <w:rFonts w:cs="FrankRuehl"/>
          <w:color w:val="000000"/>
          <w:sz w:val="28"/>
          <w:szCs w:val="28"/>
          <w:rtl/>
        </w:rPr>
        <w:t xml:space="preserve">כי הוא חף מפשע, תוך שהדגיש כי הוא לא התחמק מחקירה אלא ההיפך. הנאשם גם הלין על כך שלמרות ש"תיק כזה שנחשב לכבד, וזה באמת כבד", הוא נחקר בפרק זמן של קצת למעלה משעה כולל הפסקה, וילדיו לא נחקרו כלל. כמו כן ציין הנאשם כי הוא נפגע באופן קשה מההליך, הן במישור הכלכלי נוכח פיטוריו והן במישור החברתי, ותיאר כי גם ילדיו "מסתובבים עם ראש ברצפה". מבחינת שירות </w:t>
      </w:r>
      <w:r>
        <w:rPr>
          <w:rFonts w:cs="FrankRuehl"/>
          <w:color w:val="000000"/>
          <w:sz w:val="28"/>
          <w:szCs w:val="28"/>
          <w:rtl/>
        </w:rPr>
        <w:lastRenderedPageBreak/>
        <w:t>המילואים שלו סיפר הנאשם כי בשלושת החודשים הראשונים לאחר שבעה באוקטובר הוא שירת ב</w:t>
      </w:r>
      <w:r w:rsidR="001B0768">
        <w:rPr>
          <w:rFonts w:cs="FrankRuehl" w:hint="cs"/>
          <w:color w:val="000000"/>
          <w:sz w:val="28"/>
          <w:szCs w:val="28"/>
          <w:rtl/>
        </w:rPr>
        <w:t>-</w:t>
      </w:r>
      <w:r w:rsidR="001B0768">
        <w:rPr>
          <w:rFonts w:cs="FrankRuehl" w:hint="cs"/>
          <w:color w:val="000000"/>
          <w:sz w:val="28"/>
          <w:szCs w:val="28"/>
        </w:rPr>
        <w:t>XXXX</w:t>
      </w:r>
      <w:r>
        <w:rPr>
          <w:rFonts w:cs="FrankRuehl"/>
          <w:color w:val="000000"/>
          <w:sz w:val="28"/>
          <w:szCs w:val="28"/>
          <w:rtl/>
        </w:rPr>
        <w:t>, וכי מאז הוא משרת ביחידת ההגנה המרחבית ביישובו, וכעת הוא מצוי במגעים כדי להצטרף ליחידה אחרת.</w:t>
      </w:r>
    </w:p>
    <w:p w:rsidR="00B41B18" w:rsidRDefault="00B41B18" w:rsidP="00B41B18">
      <w:pPr>
        <w:numPr>
          <w:ilvl w:val="0"/>
          <w:numId w:val="3"/>
        </w:numPr>
        <w:tabs>
          <w:tab w:val="left" w:pos="702"/>
        </w:tabs>
        <w:spacing w:after="240" w:line="360" w:lineRule="auto"/>
        <w:ind w:left="-7" w:firstLine="0"/>
        <w:jc w:val="both"/>
        <w:rPr>
          <w:rFonts w:cs="FrankRuehl"/>
          <w:color w:val="000000"/>
          <w:sz w:val="28"/>
          <w:szCs w:val="28"/>
          <w:rtl/>
        </w:rPr>
      </w:pPr>
      <w:r>
        <w:rPr>
          <w:rFonts w:cs="FrankRuehl" w:hint="cs"/>
          <w:color w:val="000000"/>
          <w:sz w:val="28"/>
          <w:szCs w:val="28"/>
          <w:rtl/>
        </w:rPr>
        <w:t xml:space="preserve">נוכח העולה מדברי הקטינה ואמה (שהובאו בפיסקה </w:t>
      </w:r>
      <w:r w:rsidRPr="00B41B18">
        <w:rPr>
          <w:rFonts w:ascii="FrankRuehl" w:hAnsi="FrankRuehl" w:cs="FrankRuehl"/>
          <w:color w:val="000000"/>
          <w:sz w:val="28"/>
          <w:szCs w:val="28"/>
          <w:rtl/>
        </w:rPr>
        <w:fldChar w:fldCharType="begin"/>
      </w:r>
      <w:r w:rsidRPr="00B41B18">
        <w:rPr>
          <w:rFonts w:ascii="FrankRuehl" w:hAnsi="FrankRuehl" w:cs="FrankRuehl"/>
          <w:color w:val="000000"/>
          <w:sz w:val="28"/>
          <w:szCs w:val="28"/>
          <w:rtl/>
        </w:rPr>
        <w:instrText xml:space="preserve"> </w:instrText>
      </w:r>
      <w:r w:rsidRPr="00B41B18">
        <w:rPr>
          <w:rFonts w:ascii="FrankRuehl" w:hAnsi="FrankRuehl" w:cs="FrankRuehl"/>
          <w:color w:val="000000"/>
          <w:sz w:val="28"/>
          <w:szCs w:val="28"/>
        </w:rPr>
        <w:instrText>REF</w:instrText>
      </w:r>
      <w:r w:rsidRPr="00B41B18">
        <w:rPr>
          <w:rFonts w:ascii="FrankRuehl" w:hAnsi="FrankRuehl" w:cs="FrankRuehl"/>
          <w:color w:val="000000"/>
          <w:sz w:val="28"/>
          <w:szCs w:val="28"/>
          <w:rtl/>
        </w:rPr>
        <w:instrText xml:space="preserve"> _</w:instrText>
      </w:r>
      <w:r w:rsidRPr="00B41B18">
        <w:rPr>
          <w:rFonts w:ascii="FrankRuehl" w:hAnsi="FrankRuehl" w:cs="FrankRuehl"/>
          <w:color w:val="000000"/>
          <w:sz w:val="28"/>
          <w:szCs w:val="28"/>
        </w:rPr>
        <w:instrText>Ref171600625 \r \h</w:instrText>
      </w:r>
      <w:r w:rsidRPr="00B41B18">
        <w:rPr>
          <w:rFonts w:ascii="FrankRuehl" w:hAnsi="FrankRuehl" w:cs="FrankRuehl"/>
          <w:color w:val="000000"/>
          <w:sz w:val="28"/>
          <w:szCs w:val="28"/>
          <w:rtl/>
        </w:rPr>
        <w:instrText xml:space="preserve">  \* </w:instrText>
      </w:r>
      <w:r w:rsidRPr="00B41B18">
        <w:rPr>
          <w:rFonts w:ascii="FrankRuehl" w:hAnsi="FrankRuehl" w:cs="FrankRuehl"/>
          <w:color w:val="000000"/>
          <w:sz w:val="28"/>
          <w:szCs w:val="28"/>
        </w:rPr>
        <w:instrText>MERGEFORMAT</w:instrText>
      </w:r>
      <w:r w:rsidRPr="00B41B18">
        <w:rPr>
          <w:rFonts w:ascii="FrankRuehl" w:hAnsi="FrankRuehl" w:cs="FrankRuehl"/>
          <w:color w:val="000000"/>
          <w:sz w:val="28"/>
          <w:szCs w:val="28"/>
          <w:rtl/>
        </w:rPr>
        <w:instrText xml:space="preserve"> </w:instrText>
      </w:r>
      <w:r w:rsidRPr="00B41B18">
        <w:rPr>
          <w:rFonts w:ascii="FrankRuehl" w:hAnsi="FrankRuehl" w:cs="FrankRuehl"/>
          <w:color w:val="000000"/>
          <w:sz w:val="28"/>
          <w:szCs w:val="28"/>
          <w:rtl/>
        </w:rPr>
      </w:r>
      <w:r w:rsidRPr="00B41B18">
        <w:rPr>
          <w:rFonts w:ascii="FrankRuehl" w:hAnsi="FrankRuehl" w:cs="FrankRuehl"/>
          <w:color w:val="000000"/>
          <w:sz w:val="28"/>
          <w:szCs w:val="28"/>
          <w:rtl/>
        </w:rPr>
        <w:fldChar w:fldCharType="separate"/>
      </w:r>
      <w:r w:rsidRPr="00B41B18">
        <w:rPr>
          <w:rFonts w:ascii="FrankRuehl" w:hAnsi="FrankRuehl" w:cs="FrankRuehl"/>
          <w:color w:val="000000"/>
          <w:sz w:val="28"/>
          <w:szCs w:val="28"/>
          <w:cs/>
        </w:rPr>
        <w:t>‎</w:t>
      </w:r>
      <w:r w:rsidRPr="00B41B18">
        <w:rPr>
          <w:rFonts w:ascii="FrankRuehl" w:hAnsi="FrankRuehl" w:cs="FrankRuehl"/>
          <w:color w:val="000000"/>
          <w:sz w:val="28"/>
          <w:szCs w:val="28"/>
        </w:rPr>
        <w:t>4</w:t>
      </w:r>
      <w:r w:rsidRPr="00B41B18">
        <w:rPr>
          <w:rFonts w:ascii="FrankRuehl" w:hAnsi="FrankRuehl" w:cs="FrankRuehl"/>
          <w:color w:val="000000"/>
          <w:sz w:val="28"/>
          <w:szCs w:val="28"/>
          <w:rtl/>
        </w:rPr>
        <w:fldChar w:fldCharType="end"/>
      </w:r>
      <w:r>
        <w:rPr>
          <w:rFonts w:cs="FrankRuehl" w:hint="cs"/>
          <w:color w:val="000000"/>
          <w:sz w:val="28"/>
          <w:szCs w:val="28"/>
          <w:rtl/>
        </w:rPr>
        <w:t xml:space="preserve"> לעיל), הרי שגם לאחר הגשת הראיות לעניין העונש נעשה ניסיון מסוים לבחון את האפשרות להגיע להסכמות. ניסיון זה לא צלח</w:t>
      </w:r>
      <w:r w:rsidR="002C5410">
        <w:rPr>
          <w:rFonts w:cs="FrankRuehl" w:hint="cs"/>
          <w:color w:val="000000"/>
          <w:sz w:val="28"/>
          <w:szCs w:val="28"/>
          <w:rtl/>
        </w:rPr>
        <w:t>, ויש כאמור ליתן את גזר הדין</w:t>
      </w:r>
      <w:r>
        <w:rPr>
          <w:rFonts w:cs="FrankRuehl" w:hint="cs"/>
          <w:color w:val="000000"/>
          <w:sz w:val="28"/>
          <w:szCs w:val="28"/>
          <w:rtl/>
        </w:rPr>
        <w:t>.</w:t>
      </w:r>
    </w:p>
    <w:p w:rsidR="00E1430B" w:rsidRDefault="00E1430B" w:rsidP="00E1430B">
      <w:pPr>
        <w:keepNext/>
        <w:spacing w:after="240"/>
        <w:rPr>
          <w:rFonts w:cs="Miriam"/>
          <w:color w:val="000000"/>
        </w:rPr>
      </w:pPr>
      <w:r>
        <w:rPr>
          <w:rFonts w:cs="Miriam"/>
          <w:color w:val="000000"/>
          <w:rtl/>
        </w:rPr>
        <w:t>ה. דיון</w:t>
      </w:r>
    </w:p>
    <w:p w:rsidR="00E1430B" w:rsidRDefault="00E1430B" w:rsidP="00E1430B">
      <w:pPr>
        <w:tabs>
          <w:tab w:val="left" w:pos="702"/>
        </w:tabs>
        <w:spacing w:after="240"/>
        <w:ind w:left="-7"/>
        <w:rPr>
          <w:rFonts w:ascii="FrankRuehl" w:hAnsi="FrankRuehl" w:cs="FrankRuehl"/>
          <w:sz w:val="20"/>
          <w:szCs w:val="26"/>
        </w:rPr>
      </w:pPr>
      <w:r>
        <w:rPr>
          <w:rFonts w:ascii="FrankRuehl" w:hAnsi="FrankRuehl" w:cs="FrankRuehl"/>
          <w:color w:val="000000"/>
          <w:sz w:val="28"/>
          <w:szCs w:val="28"/>
          <w:rtl/>
        </w:rPr>
        <w:t xml:space="preserve">ה(1) </w:t>
      </w:r>
      <w:r>
        <w:rPr>
          <w:rFonts w:ascii="FrankRuehl" w:hAnsi="FrankRuehl" w:cs="FrankRuehl"/>
          <w:color w:val="000000"/>
          <w:sz w:val="28"/>
          <w:szCs w:val="28"/>
          <w:u w:val="single"/>
          <w:rtl/>
        </w:rPr>
        <w:t>גזירת הדין - כללי</w:t>
      </w:r>
    </w:p>
    <w:p w:rsidR="00E1430B" w:rsidRDefault="00E1430B" w:rsidP="00E1430B">
      <w:pPr>
        <w:numPr>
          <w:ilvl w:val="0"/>
          <w:numId w:val="3"/>
        </w:numPr>
        <w:tabs>
          <w:tab w:val="left" w:pos="702"/>
        </w:tabs>
        <w:spacing w:after="240" w:line="360" w:lineRule="auto"/>
        <w:ind w:left="-7" w:firstLine="0"/>
        <w:jc w:val="both"/>
        <w:rPr>
          <w:rFonts w:ascii="FrankRuehl" w:hAnsi="FrankRuehl" w:cs="FrankRuehl"/>
        </w:rPr>
      </w:pPr>
      <w:r>
        <w:rPr>
          <w:rFonts w:ascii="FrankRuehl" w:hAnsi="FrankRuehl" w:cs="FrankRuehl"/>
          <w:color w:val="000000"/>
          <w:sz w:val="28"/>
          <w:szCs w:val="28"/>
          <w:rtl/>
        </w:rPr>
        <w:t>סעיף 40ב לחוק העונשין קובע כי "העיקרון המנחה בענישה הוא קיומו של יחס הולם בין חומרת מעשה העבירה בנסיבותיו ומידת אשמו של הנאשם ובין סוג ומידת העונש המוטל עליו". סעיף 40ג(א) מורה כי בהתאם לעקרון ההלימה יש לקבוע "מתחם עונש הולם", וזאת תוך התחשבות "בערך החברתי שנפגע מביצוע העבירה, במידת הפגיעה בו, במדיניות הענישה הנהוגה ובנסיבות הקשורות בביצוע העבירה". חלק מהנסיבות הקשורות בביצוע העבירה מנויות בסעיף 40ט לחוק, ובכללן מידת התכנון שקדם לביצוע העבירה, חלקו היחסי של הנאשם, מידת הנזק שנגרמה או שהייתה צפויה להיגרם מהעבירה, ועוד, אולם אין מדובר ברשימה סגורה (ראו סעיף 40יב לחוק).</w:t>
      </w:r>
    </w:p>
    <w:p w:rsidR="00E1430B" w:rsidRDefault="00E1430B" w:rsidP="00F44137">
      <w:pPr>
        <w:numPr>
          <w:ilvl w:val="0"/>
          <w:numId w:val="3"/>
        </w:numPr>
        <w:tabs>
          <w:tab w:val="left" w:pos="702"/>
        </w:tabs>
        <w:spacing w:after="240" w:line="360" w:lineRule="auto"/>
        <w:ind w:left="-7" w:firstLine="0"/>
        <w:jc w:val="both"/>
        <w:rPr>
          <w:rFonts w:ascii="FrankRuehl" w:hAnsi="FrankRuehl" w:cs="FrankRuehl"/>
          <w:color w:val="000000"/>
          <w:sz w:val="28"/>
          <w:szCs w:val="28"/>
          <w:rtl/>
        </w:rPr>
      </w:pPr>
      <w:r>
        <w:rPr>
          <w:rFonts w:ascii="FrankRuehl" w:hAnsi="FrankRuehl" w:cs="FrankRuehl"/>
          <w:color w:val="000000"/>
          <w:sz w:val="28"/>
          <w:szCs w:val="28"/>
          <w:rtl/>
        </w:rPr>
        <w:t>לאחר קביעת מתחם העונש ההולם, יש לגזור את העונש המתאים לנאשם, וזאת תוך התחשבות בנסיבות שאינן קשורות בביצוע העבירה (סעיף 40ג(ב) לחוק). נסיבות כאלה מפורטות בסעיף 40יא לחוק, וביניהן נסיבות הקשורות בנאשם ונסיבות אחרות, לרבות</w:t>
      </w:r>
      <w:r>
        <w:rPr>
          <w:rFonts w:ascii="FrankRuehl" w:hAnsi="FrankRuehl" w:cs="FrankRuehl"/>
          <w:rtl/>
        </w:rPr>
        <w:t xml:space="preserve"> "</w:t>
      </w:r>
      <w:r>
        <w:rPr>
          <w:rFonts w:ascii="FrankRuehl" w:hAnsi="FrankRuehl" w:cs="FrankRuehl"/>
          <w:color w:val="000000"/>
          <w:sz w:val="28"/>
          <w:szCs w:val="28"/>
          <w:rtl/>
        </w:rPr>
        <w:t>התנהגות רשויות אכיפת החוק" וכן "חלוף הזמן מעת ביצוע העבירה"</w:t>
      </w:r>
      <w:r w:rsidR="00F44137">
        <w:rPr>
          <w:rFonts w:ascii="FrankRuehl" w:hAnsi="FrankRuehl" w:cs="FrankRuehl" w:hint="cs"/>
          <w:color w:val="000000"/>
          <w:sz w:val="28"/>
          <w:szCs w:val="28"/>
          <w:rtl/>
        </w:rPr>
        <w:t>.</w:t>
      </w:r>
      <w:r>
        <w:rPr>
          <w:rFonts w:ascii="FrankRuehl" w:hAnsi="FrankRuehl" w:cs="FrankRuehl"/>
          <w:color w:val="000000"/>
          <w:sz w:val="28"/>
          <w:szCs w:val="28"/>
          <w:rtl/>
        </w:rPr>
        <w:t xml:space="preserve"> גם כאן הרשימה אינה סגורה (ראו סעיף 40יב לחוק). כמו כן ניתן להתחשב בצורך להרתיע את </w:t>
      </w:r>
      <w:r>
        <w:rPr>
          <w:rFonts w:ascii="FrankRuehl" w:hAnsi="FrankRuehl" w:cs="FrankRuehl"/>
          <w:color w:val="000000"/>
          <w:sz w:val="28"/>
          <w:szCs w:val="28"/>
          <w:rtl/>
        </w:rPr>
        <w:lastRenderedPageBreak/>
        <w:t>הנאשם ולהרתיע את הרבים (סעיפים 40ו-40ז לחוק).</w:t>
      </w:r>
      <w:r>
        <w:rPr>
          <w:rFonts w:ascii="FrankRuehl" w:hAnsi="FrankRuehl" w:cs="FrankRuehl"/>
          <w:rtl/>
        </w:rPr>
        <w:t xml:space="preserve"> </w:t>
      </w:r>
      <w:r>
        <w:rPr>
          <w:rFonts w:ascii="FrankRuehl" w:hAnsi="FrankRuehl" w:cs="FrankRuehl"/>
          <w:color w:val="000000"/>
          <w:sz w:val="28"/>
          <w:szCs w:val="28"/>
          <w:rtl/>
        </w:rPr>
        <w:t>במקרים חריגים ניתן לחרוג מן המתחם לקולא, מטעמי שיקום, או לחומרא, מטעמי הגנה על שלום הציבור (ראו סעיפים 40ד וכן 40ה לחוק).</w:t>
      </w:r>
    </w:p>
    <w:p w:rsidR="00E1430B" w:rsidRDefault="00E1430B" w:rsidP="002C5410">
      <w:pPr>
        <w:keepNext/>
        <w:tabs>
          <w:tab w:val="left" w:pos="702"/>
        </w:tabs>
        <w:spacing w:after="240"/>
        <w:ind w:left="-6"/>
        <w:rPr>
          <w:rFonts w:ascii="FrankRuehl" w:hAnsi="FrankRuehl" w:cs="FrankRuehl"/>
          <w:color w:val="000000"/>
          <w:sz w:val="28"/>
          <w:szCs w:val="28"/>
          <w:u w:val="single"/>
        </w:rPr>
      </w:pPr>
      <w:r>
        <w:rPr>
          <w:rFonts w:ascii="FrankRuehl" w:hAnsi="FrankRuehl" w:cs="FrankRuehl"/>
          <w:color w:val="000000"/>
          <w:sz w:val="28"/>
          <w:szCs w:val="28"/>
          <w:rtl/>
        </w:rPr>
        <w:t xml:space="preserve">ה(2) </w:t>
      </w:r>
      <w:r>
        <w:rPr>
          <w:rFonts w:ascii="FrankRuehl" w:hAnsi="FrankRuehl" w:cs="FrankRuehl"/>
          <w:color w:val="000000"/>
          <w:sz w:val="28"/>
          <w:szCs w:val="28"/>
          <w:u w:val="single"/>
          <w:rtl/>
        </w:rPr>
        <w:t>מתחם אחד או מתחמים נפרדים</w:t>
      </w:r>
    </w:p>
    <w:p w:rsidR="00E1430B" w:rsidRDefault="00E1430B" w:rsidP="00E1430B">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 xml:space="preserve">כאשר נאשם מורשע במספר עבירות, קובע סעיף 40יג לחוק העונשין כי יש להבחין בין מצב </w:t>
      </w:r>
      <w:r>
        <w:rPr>
          <w:rFonts w:cs="FrankRuehl"/>
          <w:color w:val="000000"/>
          <w:sz w:val="28"/>
          <w:szCs w:val="28"/>
          <w:rtl/>
        </w:rPr>
        <w:t>שבו</w:t>
      </w:r>
      <w:r>
        <w:rPr>
          <w:rFonts w:ascii="FrankRuehl" w:hAnsi="FrankRuehl" w:cs="FrankRuehl"/>
          <w:color w:val="000000"/>
          <w:sz w:val="28"/>
          <w:szCs w:val="28"/>
          <w:rtl/>
        </w:rPr>
        <w:t xml:space="preserve"> העבירות מהוות "אירוע אחד", שאז ייקבע המתחם וייגזר העונש ביחס לאירוע ולעבירות כמכלול, ובין מצב שבו העבירות מהוות "כמה אירועים", שאז יש לקבוע מתחם ביחס לכל אירוע בפני עצמו ולפעול כאמור בסעיף.</w:t>
      </w:r>
    </w:p>
    <w:p w:rsidR="00E1430B" w:rsidRDefault="00E1430B" w:rsidP="00E1430B">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 xml:space="preserve">קיימות גישות שונות בשאלה מה הם המבחנים שלפיהם יש להחליט האם העבירות מהוות "אירוע אחד" או "כמה אירועים". בע"פ 4910/13 </w:t>
      </w:r>
      <w:r>
        <w:rPr>
          <w:rFonts w:cs="Miriam"/>
          <w:rtl/>
        </w:rPr>
        <w:t>ג'אבר נ' מדינת ישראל</w:t>
      </w:r>
      <w:r>
        <w:rPr>
          <w:rFonts w:ascii="FrankRuehl" w:hAnsi="FrankRuehl" w:cs="FrankRuehl"/>
          <w:color w:val="000000"/>
          <w:sz w:val="28"/>
          <w:szCs w:val="28"/>
          <w:rtl/>
        </w:rPr>
        <w:t xml:space="preserve"> (29.10.2014) ציינה כבוד השופטת ד' ברק-ארז כי "עבירות שיש ביניהן קשר הדוק ייחשבו לאירוע אחד", כאשר השאלה מה יוצר את אותו "קשר הדוק" אינה ניתנת להגדרה מראש, ויכולה להיות תלויה בנסיבות שונות, ובין היתר סמיכות הזמנים או היות העבירות חלק מתוכנית עבריינית אחת (וראו שם את גישתו הדומה של כבוד השופט ע' פוגלמן, הכוללת דגשים משלו).</w:t>
      </w:r>
    </w:p>
    <w:p w:rsidR="00E1430B" w:rsidRDefault="00E1430B" w:rsidP="00F44137">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 xml:space="preserve">במקרה שכאן, המאשימה טוענת כי העבירות מקימות שני אירועים נפרדים, ואילו הנאשם טוען כי מדובר באירוע אחד. לטעמי הדין עם הנאשם: העבירות שיוחסו לנאשם בגין המעשים השונים הן זהות; המעשים בוצעו כלפי אותה קטינה; הם בוצעו בנסיבות דומות, היינו בעת שהקטינה שהתה בביתו של הנאשם; והגם שניתן להצביע על הבדלי חומרה ביניהם, אין מדובר על הבדלים כה מהותיים, כעולה כאמור מזהות סעיפי העבירה. העובדה ששניים מן המעשים בוצעו בהפרש זמנים של מספר חודשים אינה מלמדת כי אין ביניהם "קשר הדוק", בייחוד כאשר נקבע כי הנאשם גם </w:t>
      </w:r>
      <w:r>
        <w:rPr>
          <w:rFonts w:ascii="FrankRuehl" w:hAnsi="FrankRuehl" w:cs="FrankRuehl"/>
          <w:color w:val="000000"/>
          <w:sz w:val="28"/>
          <w:szCs w:val="28"/>
          <w:rtl/>
        </w:rPr>
        <w:lastRenderedPageBreak/>
        <w:t>ביצע באופן נמשך מעשים מגונים נוספים, של הנחת רגליו על ירכיה של הקטינה. לא בכדי המאשימה לא הבהירה מדוע – אם כטענתה יש לראות במעשים אירועים נפרדים – מעשי הנחת הרגליים לא יהוו אירוע נפרד</w:t>
      </w:r>
      <w:r w:rsidR="00F44137">
        <w:rPr>
          <w:rFonts w:ascii="FrankRuehl" w:hAnsi="FrankRuehl" w:cs="FrankRuehl" w:hint="cs"/>
          <w:color w:val="000000"/>
          <w:sz w:val="28"/>
          <w:szCs w:val="28"/>
          <w:rtl/>
        </w:rPr>
        <w:t xml:space="preserve"> שלגביו ייקבע מתחם שלילי</w:t>
      </w:r>
      <w:r>
        <w:rPr>
          <w:rFonts w:ascii="FrankRuehl" w:hAnsi="FrankRuehl" w:cs="FrankRuehl"/>
          <w:color w:val="000000"/>
          <w:sz w:val="28"/>
          <w:szCs w:val="28"/>
          <w:rtl/>
        </w:rPr>
        <w:t>.</w:t>
      </w:r>
    </w:p>
    <w:p w:rsidR="00E1430B" w:rsidRDefault="00E1430B" w:rsidP="00E1430B">
      <w:pPr>
        <w:numPr>
          <w:ilvl w:val="0"/>
          <w:numId w:val="3"/>
        </w:numPr>
        <w:tabs>
          <w:tab w:val="left" w:pos="702"/>
        </w:tabs>
        <w:spacing w:after="240" w:line="360" w:lineRule="auto"/>
        <w:ind w:left="-7" w:firstLine="0"/>
        <w:jc w:val="both"/>
        <w:rPr>
          <w:rFonts w:ascii="FrankRuehl" w:hAnsi="FrankRuehl" w:cs="FrankRuehl"/>
          <w:color w:val="000000"/>
          <w:sz w:val="28"/>
          <w:szCs w:val="28"/>
        </w:rPr>
      </w:pPr>
      <w:r>
        <w:rPr>
          <w:rFonts w:ascii="FrankRuehl" w:hAnsi="FrankRuehl" w:cs="FrankRuehl"/>
          <w:color w:val="000000"/>
          <w:sz w:val="28"/>
          <w:szCs w:val="28"/>
          <w:rtl/>
        </w:rPr>
        <w:t xml:space="preserve">אציין כי בכל מקרה לטעמי השאלה אם מדובר באירועים נפרדים אם לאו היא בעלת חשיבות מוגבלת, שכן גם כאשר מדובר באירועים נפרדים ניתן בנסיבות מתאימות לגזור בעטיים עונש כולל או להורות על חפיפה בין עונשים נפרדים, וזאת בין היתר בראי מידת הזיקה בין המעשים (ראו: ע"פ 1261/15 </w:t>
      </w:r>
      <w:r>
        <w:rPr>
          <w:rFonts w:cs="Miriam"/>
          <w:rtl/>
        </w:rPr>
        <w:t>מדינת ישראל נ' דלאל</w:t>
      </w:r>
      <w:r>
        <w:rPr>
          <w:rFonts w:ascii="FrankRuehl" w:hAnsi="FrankRuehl" w:cs="FrankRuehl"/>
          <w:color w:val="000000"/>
          <w:sz w:val="28"/>
          <w:szCs w:val="28"/>
          <w:rtl/>
        </w:rPr>
        <w:t>, פיסקה 16 (3.9.2015)).</w:t>
      </w:r>
    </w:p>
    <w:p w:rsidR="00E1430B" w:rsidRDefault="00E1430B" w:rsidP="002C5410">
      <w:pPr>
        <w:keepNext/>
        <w:tabs>
          <w:tab w:val="left" w:pos="702"/>
        </w:tabs>
        <w:spacing w:after="240"/>
        <w:ind w:left="-6"/>
        <w:rPr>
          <w:rFonts w:cs="FrankRuehl"/>
          <w:color w:val="000000"/>
          <w:sz w:val="28"/>
          <w:szCs w:val="28"/>
        </w:rPr>
      </w:pPr>
      <w:r>
        <w:rPr>
          <w:rFonts w:cs="FrankRuehl"/>
          <w:color w:val="000000"/>
          <w:sz w:val="28"/>
          <w:szCs w:val="28"/>
          <w:rtl/>
        </w:rPr>
        <w:t xml:space="preserve">ה(3) </w:t>
      </w:r>
      <w:r>
        <w:rPr>
          <w:rFonts w:cs="FrankRuehl"/>
          <w:color w:val="000000"/>
          <w:sz w:val="28"/>
          <w:szCs w:val="28"/>
          <w:u w:val="single"/>
          <w:rtl/>
        </w:rPr>
        <w:t>מתחם העונש ההולם למעשי הנאשם</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השיקולים הרלוונטיים לקביעת מתחם העונש ההולם הם, כאמור, </w:t>
      </w:r>
      <w:r>
        <w:rPr>
          <w:rFonts w:ascii="FrankRuehl" w:hAnsi="FrankRuehl" w:cs="FrankRuehl"/>
          <w:color w:val="000000"/>
          <w:sz w:val="28"/>
          <w:szCs w:val="28"/>
          <w:rtl/>
        </w:rPr>
        <w:t>הערכים החברתיים שנפגעו מביצוע העבירה, מידת הפגיעה בהם, נסיבות הקשורות בביצוע העבירה ומדיניות הענישה הנהוגה. אתייחס לשיקולים אלה</w:t>
      </w:r>
      <w:r>
        <w:rPr>
          <w:rFonts w:cs="FrankRuehl"/>
          <w:color w:val="000000"/>
          <w:sz w:val="28"/>
          <w:szCs w:val="28"/>
          <w:rtl/>
        </w:rPr>
        <w:t>.</w:t>
      </w:r>
    </w:p>
    <w:p w:rsidR="00E1430B" w:rsidRDefault="00E1430B" w:rsidP="00E1430B">
      <w:pPr>
        <w:keepNext/>
        <w:tabs>
          <w:tab w:val="left" w:pos="702"/>
        </w:tabs>
        <w:spacing w:after="240"/>
        <w:ind w:left="-6"/>
        <w:rPr>
          <w:rFonts w:cs="FrankRuehl"/>
          <w:b/>
          <w:bCs/>
          <w:color w:val="000000"/>
          <w:sz w:val="28"/>
          <w:szCs w:val="28"/>
        </w:rPr>
      </w:pPr>
      <w:r>
        <w:rPr>
          <w:rFonts w:cs="FrankRuehl"/>
          <w:b/>
          <w:bCs/>
          <w:color w:val="000000"/>
          <w:sz w:val="28"/>
          <w:szCs w:val="28"/>
          <w:rtl/>
        </w:rPr>
        <w:t>ה(3)(1) הערכים החברתיים שנפגעו ומידת הפגיעה בהם</w:t>
      </w:r>
    </w:p>
    <w:p w:rsidR="00E1430B" w:rsidRDefault="00E1430B" w:rsidP="00E1430B">
      <w:pPr>
        <w:numPr>
          <w:ilvl w:val="0"/>
          <w:numId w:val="3"/>
        </w:numPr>
        <w:tabs>
          <w:tab w:val="left" w:pos="702"/>
        </w:tabs>
        <w:spacing w:after="240" w:line="360" w:lineRule="auto"/>
        <w:ind w:left="-7" w:firstLine="0"/>
        <w:jc w:val="both"/>
        <w:rPr>
          <w:rFonts w:ascii="Arial TUR" w:hAnsi="Arial TUR" w:cs="FrankRuehl"/>
          <w:szCs w:val="28"/>
        </w:rPr>
      </w:pPr>
      <w:r>
        <w:rPr>
          <w:rFonts w:cs="FrankRuehl"/>
          <w:color w:val="000000"/>
          <w:sz w:val="28"/>
          <w:szCs w:val="28"/>
          <w:rtl/>
        </w:rPr>
        <w:t>הערכים החברתיים הנפגעים כתוצאה מביצוע עבירות מין באשר הן הם שלמות הגוף (במקרים הרלוונטיים), שלמות הנפש, הפרטיות, וכן כבוד האדם והאוטונומיה שלו (ראו והשוו למשל</w:t>
      </w:r>
      <w:r>
        <w:rPr>
          <w:rFonts w:ascii="Century" w:hAnsi="Century" w:cs="FrankRuehl"/>
          <w:szCs w:val="28"/>
          <w:rtl/>
        </w:rPr>
        <w:t xml:space="preserve">; </w:t>
      </w:r>
      <w:r>
        <w:rPr>
          <w:rFonts w:ascii="Arial TUR" w:hAnsi="Arial TUR" w:cs="FrankRuehl"/>
          <w:szCs w:val="28"/>
          <w:rtl/>
        </w:rPr>
        <w:t xml:space="preserve">ע"פ 3677/21 </w:t>
      </w:r>
      <w:r>
        <w:rPr>
          <w:rFonts w:ascii="Century" w:hAnsi="Century" w:cs="Miriam"/>
          <w:b/>
          <w:rtl/>
        </w:rPr>
        <w:t>מדינת ישראל נ' שללאשוילי</w:t>
      </w:r>
      <w:r>
        <w:rPr>
          <w:rFonts w:ascii="Arial TUR" w:hAnsi="Arial TUR" w:cs="FrankRuehl"/>
          <w:szCs w:val="28"/>
          <w:rtl/>
        </w:rPr>
        <w:t xml:space="preserve">, פיסקה 21 (13.2.2022); ע"פ 6255/03 </w:t>
      </w:r>
      <w:r>
        <w:rPr>
          <w:rFonts w:ascii="Century" w:hAnsi="Century" w:cs="Miriam"/>
          <w:b/>
          <w:rtl/>
        </w:rPr>
        <w:t>פלוני נ' מדינת ישראל</w:t>
      </w:r>
      <w:r>
        <w:rPr>
          <w:rFonts w:ascii="Arial TUR" w:hAnsi="Arial TUR" w:cs="FrankRuehl"/>
          <w:szCs w:val="28"/>
          <w:rtl/>
        </w:rPr>
        <w:t xml:space="preserve">, פ"ד נח(3) 168, 181 (2004); ע"פ 1216/21 </w:t>
      </w:r>
      <w:r>
        <w:rPr>
          <w:rFonts w:ascii="Century" w:hAnsi="Century" w:cs="Miriam"/>
          <w:b/>
          <w:rtl/>
        </w:rPr>
        <w:t>לארי נ' מדינת ישראל</w:t>
      </w:r>
      <w:r>
        <w:rPr>
          <w:rFonts w:ascii="Arial TUR" w:hAnsi="Arial TUR" w:cs="FrankRuehl"/>
          <w:szCs w:val="28"/>
          <w:rtl/>
        </w:rPr>
        <w:t xml:space="preserve">, פיסקה 10 (19.5.2022). לגבי קטינים בפרט ראו: </w:t>
      </w:r>
      <w:r>
        <w:rPr>
          <w:rFonts w:ascii="Century" w:hAnsi="Century" w:cs="FrankRuehl"/>
          <w:szCs w:val="28"/>
          <w:rtl/>
        </w:rPr>
        <w:t xml:space="preserve">ע"פ </w:t>
      </w:r>
      <w:r>
        <w:rPr>
          <w:rFonts w:cs="FrankRuehl"/>
          <w:color w:val="000000"/>
          <w:sz w:val="28"/>
          <w:szCs w:val="28"/>
          <w:rtl/>
        </w:rPr>
        <w:t>3235</w:t>
      </w:r>
      <w:r>
        <w:rPr>
          <w:rFonts w:ascii="Century" w:hAnsi="Century" w:cs="FrankRuehl"/>
          <w:szCs w:val="28"/>
          <w:rtl/>
        </w:rPr>
        <w:t xml:space="preserve">/22 </w:t>
      </w:r>
      <w:r>
        <w:rPr>
          <w:rFonts w:ascii="Century" w:hAnsi="Century" w:cs="Miriam"/>
          <w:b/>
          <w:rtl/>
        </w:rPr>
        <w:t>אללו נ' מדינת ישראל</w:t>
      </w:r>
      <w:r>
        <w:rPr>
          <w:rFonts w:ascii="Century" w:hAnsi="Century" w:cs="FrankRuehl"/>
          <w:szCs w:val="28"/>
          <w:rtl/>
        </w:rPr>
        <w:t>, פיסקה 13 (22.1.2023)</w:t>
      </w:r>
      <w:r>
        <w:rPr>
          <w:rFonts w:ascii="Arial TUR" w:hAnsi="Arial TUR" w:cs="FrankRuehl"/>
          <w:szCs w:val="28"/>
          <w:rtl/>
        </w:rPr>
        <w:t xml:space="preserve">; ע"פ 966/19 </w:t>
      </w:r>
      <w:r>
        <w:rPr>
          <w:rFonts w:ascii="Century" w:hAnsi="Century" w:cs="Miriam"/>
          <w:b/>
          <w:rtl/>
        </w:rPr>
        <w:t>פלוני נ' מדינת ישראל</w:t>
      </w:r>
      <w:r>
        <w:rPr>
          <w:rFonts w:ascii="Arial TUR" w:hAnsi="Arial TUR" w:cs="FrankRuehl"/>
          <w:szCs w:val="28"/>
          <w:rtl/>
        </w:rPr>
        <w:t xml:space="preserve">, פיסקה 15 (29.1.2022); ע"פ 7746/13 </w:t>
      </w:r>
      <w:r>
        <w:rPr>
          <w:rFonts w:ascii="Century" w:hAnsi="Century" w:cs="Miriam"/>
          <w:b/>
          <w:rtl/>
        </w:rPr>
        <w:t>מדינת ישראל נ' פלוני</w:t>
      </w:r>
      <w:r>
        <w:rPr>
          <w:rFonts w:ascii="Arial TUR" w:hAnsi="Arial TUR" w:cs="FrankRuehl"/>
          <w:szCs w:val="28"/>
          <w:rtl/>
        </w:rPr>
        <w:t>, פיסקה 12 (11.6.2014); ע</w:t>
      </w:r>
      <w:r>
        <w:rPr>
          <w:rFonts w:ascii="FrankRuehl" w:hAnsi="FrankRuehl" w:cs="FrankRuehl"/>
          <w:sz w:val="28"/>
          <w:szCs w:val="28"/>
          <w:rtl/>
        </w:rPr>
        <w:t xml:space="preserve">"פ 6690/07 </w:t>
      </w:r>
      <w:r>
        <w:rPr>
          <w:rFonts w:ascii="Miriam" w:hAnsi="Miriam" w:cs="Miriam"/>
          <w:b/>
          <w:rtl/>
        </w:rPr>
        <w:t>פלוני נ'</w:t>
      </w:r>
      <w:r>
        <w:rPr>
          <w:rFonts w:ascii="FrankRuehl" w:hAnsi="FrankRuehl" w:cs="FrankRuehl"/>
          <w:sz w:val="28"/>
          <w:szCs w:val="28"/>
          <w:rtl/>
        </w:rPr>
        <w:t xml:space="preserve"> </w:t>
      </w:r>
      <w:r>
        <w:rPr>
          <w:rFonts w:ascii="Miriam" w:hAnsi="Miriam" w:cs="Miriam"/>
          <w:b/>
          <w:rtl/>
        </w:rPr>
        <w:t>מדינת ישראל</w:t>
      </w:r>
      <w:r>
        <w:rPr>
          <w:rFonts w:ascii="FrankRuehl" w:hAnsi="FrankRuehl" w:cs="FrankRuehl"/>
          <w:sz w:val="28"/>
          <w:szCs w:val="28"/>
          <w:rtl/>
        </w:rPr>
        <w:t>, פיסקה 6 (10.3.2008)</w:t>
      </w:r>
      <w:r>
        <w:rPr>
          <w:rFonts w:ascii="Arial TUR" w:hAnsi="Arial TUR" w:cs="FrankRuehl"/>
          <w:szCs w:val="28"/>
          <w:rtl/>
        </w:rPr>
        <w:t xml:space="preserve">; </w:t>
      </w:r>
      <w:r>
        <w:rPr>
          <w:rFonts w:ascii="FrankRuehl" w:hAnsi="FrankRuehl" w:cs="FrankRuehl"/>
          <w:sz w:val="28"/>
          <w:szCs w:val="28"/>
          <w:rtl/>
        </w:rPr>
        <w:t xml:space="preserve">ע"פ 2240/21 </w:t>
      </w:r>
      <w:r>
        <w:rPr>
          <w:rFonts w:ascii="Miriam" w:hAnsi="Miriam" w:cs="Miriam"/>
          <w:b/>
          <w:rtl/>
        </w:rPr>
        <w:t>מדינת ישראל נ' שחר</w:t>
      </w:r>
      <w:r>
        <w:rPr>
          <w:rFonts w:ascii="FrankRuehl" w:hAnsi="FrankRuehl" w:cs="FrankRuehl"/>
          <w:sz w:val="28"/>
          <w:szCs w:val="28"/>
          <w:rtl/>
        </w:rPr>
        <w:t>, פיסקה 17 (8.11.2021)</w:t>
      </w:r>
      <w:r>
        <w:rPr>
          <w:rFonts w:ascii="Arial TUR" w:hAnsi="Arial TUR" w:cs="FrankRuehl"/>
          <w:szCs w:val="28"/>
          <w:rtl/>
        </w:rPr>
        <w:t xml:space="preserve">, להלן: עניין </w:t>
      </w:r>
      <w:r>
        <w:rPr>
          <w:rFonts w:ascii="Miriam" w:hAnsi="Miriam" w:cs="Miriam"/>
          <w:b/>
          <w:rtl/>
        </w:rPr>
        <w:t>שחר</w:t>
      </w:r>
      <w:r>
        <w:rPr>
          <w:rFonts w:ascii="Arial TUR" w:hAnsi="Arial TUR" w:cs="FrankRuehl"/>
          <w:szCs w:val="28"/>
          <w:rtl/>
        </w:rPr>
        <w:t>).</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lastRenderedPageBreak/>
        <w:t>לגבי האיסור על ביצוע מעשה מגונה, כמו המעשים שביצע הנאשם במקרה שכאן, נקבע באופן קונקרטי כי הוא</w:t>
      </w:r>
    </w:p>
    <w:p w:rsidR="00E1430B" w:rsidRDefault="00E1430B" w:rsidP="00E1430B">
      <w:pPr>
        <w:pStyle w:val="ad"/>
        <w:spacing w:after="360"/>
        <w:ind w:left="720"/>
      </w:pPr>
      <w:r>
        <w:rPr>
          <w:rtl/>
        </w:rPr>
        <w:t>נועד למנוע פגיעה בביטחונו האישי של הפרט, בצנעתו, בפרטיותו ובאוטונומיית הרצון החופשי שלו. ביצוע מעשה מגונה באדם בניגוד לרצונו פוגע באופן חמור בכבודו במובנו הגרעיני ביותו ומפר באורח גס את ריבונותו על גופו. בדומה ליתר סעיפי החוק שעניינם עבירות מין, מטרת הסעיף היא למנוע את הכפפתו של אדם לתאוותו של אחר בניגוד לרצונו ולהסכמתו.</w:t>
      </w:r>
    </w:p>
    <w:p w:rsidR="00E1430B" w:rsidRDefault="00E1430B" w:rsidP="00E1430B">
      <w:pPr>
        <w:pStyle w:val="ad"/>
        <w:spacing w:after="360"/>
        <w:ind w:left="720"/>
        <w:rPr>
          <w:rFonts w:ascii="Century" w:hAnsi="Century"/>
          <w:u w:val="single"/>
        </w:rPr>
      </w:pPr>
      <w:r>
        <w:rPr>
          <w:rtl/>
        </w:rPr>
        <w:t xml:space="preserve">(ע"פ 7128/16 </w:t>
      </w:r>
      <w:r>
        <w:rPr>
          <w:rFonts w:ascii="Century" w:hAnsi="Century" w:cs="Miriam"/>
          <w:b/>
          <w:szCs w:val="24"/>
          <w:rtl/>
        </w:rPr>
        <w:t>פלוני נ' מדינת ישראל</w:t>
      </w:r>
      <w:r>
        <w:rPr>
          <w:rtl/>
        </w:rPr>
        <w:t xml:space="preserve">, פיסקה 12 (16.5.2018); ראו גם </w:t>
      </w:r>
      <w:r>
        <w:rPr>
          <w:rFonts w:ascii="Century" w:hAnsi="Century"/>
          <w:rtl/>
        </w:rPr>
        <w:t xml:space="preserve">ע"פ 2454/18 </w:t>
      </w:r>
      <w:r>
        <w:rPr>
          <w:rFonts w:ascii="Century" w:hAnsi="Century" w:cs="Miriam"/>
          <w:b/>
          <w:szCs w:val="24"/>
          <w:rtl/>
        </w:rPr>
        <w:t>שיינברג נ' מדינת ישראל</w:t>
      </w:r>
      <w:r>
        <w:rPr>
          <w:rFonts w:ascii="Century" w:hAnsi="Century"/>
          <w:rtl/>
        </w:rPr>
        <w:t xml:space="preserve">, </w:t>
      </w:r>
      <w:r>
        <w:rPr>
          <w:rtl/>
        </w:rPr>
        <w:t>פיסקה</w:t>
      </w:r>
      <w:r>
        <w:rPr>
          <w:rFonts w:ascii="Century" w:hAnsi="Century"/>
          <w:rtl/>
        </w:rPr>
        <w:t xml:space="preserve"> 22 (6.12.2018)).</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מידת הפגיעה בערכים הנזכרים במקרה שכאן אינה מבוטלת: אמנם המעשים לא כללו מגע באברי מין; למעט במקרה של ליטוף הירך, המגע היה מעל לבגדים; ולא נגרם לקטינה נזק גופני. עם זאת מדובר היה בקטינה צעירה כבת 13 עד 13.5 שנים; במספר מעשים; שבוצעו שלא בהסכמה; ותוך ניצול האמון שנתנה הקטינה בנאשם ותחושת הביתיות שחשה במרחב שבו שהו יחד. המעשים גם גרמו </w:t>
      </w:r>
      <w:r w:rsidR="00F44137">
        <w:rPr>
          <w:rFonts w:cs="FrankRuehl" w:hint="cs"/>
          <w:color w:val="000000"/>
          <w:sz w:val="28"/>
          <w:szCs w:val="28"/>
          <w:rtl/>
        </w:rPr>
        <w:t xml:space="preserve">לקטינה </w:t>
      </w:r>
      <w:r>
        <w:rPr>
          <w:rFonts w:cs="FrankRuehl"/>
          <w:color w:val="000000"/>
          <w:sz w:val="28"/>
          <w:szCs w:val="28"/>
          <w:rtl/>
        </w:rPr>
        <w:t>נזק משמעותי במישור הנפשי והחברתי, כמתואר לעיל.</w:t>
      </w:r>
    </w:p>
    <w:p w:rsidR="00E1430B" w:rsidRDefault="00E1430B" w:rsidP="00E1430B">
      <w:pPr>
        <w:keepNext/>
        <w:tabs>
          <w:tab w:val="left" w:pos="702"/>
        </w:tabs>
        <w:spacing w:after="240"/>
        <w:ind w:left="-6"/>
        <w:rPr>
          <w:rFonts w:cs="FrankRuehl"/>
          <w:b/>
          <w:bCs/>
          <w:color w:val="000000"/>
          <w:sz w:val="28"/>
          <w:szCs w:val="28"/>
          <w:rtl/>
        </w:rPr>
      </w:pPr>
      <w:r>
        <w:rPr>
          <w:rFonts w:cs="FrankRuehl"/>
          <w:b/>
          <w:bCs/>
          <w:color w:val="000000"/>
          <w:sz w:val="28"/>
          <w:szCs w:val="28"/>
          <w:rtl/>
        </w:rPr>
        <w:t>ה(3)(2) נסיבות ביצוע העבירות (סעיף 40ט(א) לחוק)</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tl/>
        </w:rPr>
      </w:pPr>
      <w:bookmarkStart w:id="2" w:name="_Ref121744398"/>
      <w:r>
        <w:rPr>
          <w:rFonts w:cs="FrankRuehl"/>
          <w:color w:val="000000"/>
          <w:sz w:val="28"/>
          <w:szCs w:val="28"/>
          <w:rtl/>
        </w:rPr>
        <w:t>מעבר לנסיבות שפורטו לעיל, יש לבחון את הדברים בראי רשימת הנסיבות שבסעיף 40ט(א) לחוק.</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המעשים שביצע הנאשם לא דרשו היערכות מקדימה </w:t>
      </w:r>
      <w:r w:rsidR="00F44137">
        <w:rPr>
          <w:rFonts w:cs="FrankRuehl" w:hint="cs"/>
          <w:color w:val="000000"/>
          <w:sz w:val="28"/>
          <w:szCs w:val="28"/>
          <w:rtl/>
        </w:rPr>
        <w:t xml:space="preserve">או תכנון מדוקדק, </w:t>
      </w:r>
      <w:r>
        <w:rPr>
          <w:rFonts w:cs="FrankRuehl"/>
          <w:color w:val="000000"/>
          <w:sz w:val="28"/>
          <w:szCs w:val="28"/>
          <w:rtl/>
        </w:rPr>
        <w:t xml:space="preserve">אך היו מחושבים (ס"ק (1)). הנאשם ביצע את המעשים לבדו וללא כל השפעה של אחר (ס"ק (2)). לקטינה לא נגרם נזק גוף, אך כאמור הנזק הנפשי והחברתי שנגרם לה אינו מבוטל, וזהו גם הנזק הצפוי (ס"ק (3)-(4)). הנאשם ביצע את המעשים בשל מאווייו המיניים (ס"ק (5)), ועשה זאת תוך ניצול לרעה של פער הגילים המשמעותי בינו לבין הקטינה; של העובדה </w:t>
      </w:r>
      <w:r>
        <w:rPr>
          <w:rFonts w:cs="FrankRuehl"/>
          <w:color w:val="000000"/>
          <w:sz w:val="28"/>
          <w:szCs w:val="28"/>
          <w:rtl/>
        </w:rPr>
        <w:lastRenderedPageBreak/>
        <w:t>שנתנה בו אמון כאביה של חברתה הטובה; ושל היותו במרחבו הביתי (ס"ק (11)). לא נטען לפגם כלשהו ביכולתו של הנאשם להבין את מעשיו ואת הפסול שבהם או להימנע מהם ((ס"ק (6)-(9)).</w:t>
      </w:r>
    </w:p>
    <w:bookmarkEnd w:id="2"/>
    <w:p w:rsidR="00E1430B" w:rsidRDefault="00E1430B" w:rsidP="00E1430B">
      <w:pPr>
        <w:keepNext/>
        <w:tabs>
          <w:tab w:val="left" w:pos="702"/>
        </w:tabs>
        <w:spacing w:after="240"/>
        <w:ind w:left="-6"/>
        <w:rPr>
          <w:rFonts w:cs="FrankRuehl"/>
          <w:b/>
          <w:bCs/>
          <w:color w:val="000000"/>
          <w:sz w:val="28"/>
          <w:szCs w:val="28"/>
        </w:rPr>
      </w:pPr>
      <w:r>
        <w:rPr>
          <w:rFonts w:cs="FrankRuehl"/>
          <w:b/>
          <w:bCs/>
          <w:color w:val="000000"/>
          <w:sz w:val="28"/>
          <w:szCs w:val="28"/>
          <w:rtl/>
        </w:rPr>
        <w:t>ה(3)(3) מדיניות הענישה הנהוגה</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 xml:space="preserve">העונש המרבי לעבירת מעשה מגונה בקטינה שטרם מלאו לה שש עשרה שנים שלא בהסכמתה החופשית הוא עשר שנות מאסר. כמו כן יש לציין כי על פי סעיף 355 לחוק העונשין, עונש מזערי על עבירות מין שונות, ובהן מעשים מגונים מעין אלה שבהם הורשע הנאשם, לא יפחת מרבע מן העונש המרבי, בהעדר טעמים מיוחדים שיירשמו. אמנם אין הכרח שכל העונש יהיה דווקא בדרך של מאסר בפועל (שם), וממילא אין הכרח שמתחם עונש המאסר בפועל יהיה גבוה יותר מן העונש המזערי. עם זאת, מדובר בהוראה מחייבת לעניין קביעת העונש הכולל, והיא גם משקפת את החומרה שרואה המחוקק בעבירות ממין זה (ראו ע"פ 8500/22 </w:t>
      </w:r>
      <w:r>
        <w:rPr>
          <w:rFonts w:ascii="Miriam" w:hAnsi="Miriam" w:cs="Miriam"/>
          <w:color w:val="000000"/>
          <w:rtl/>
        </w:rPr>
        <w:t>אביטבול נ' מדינת ישראל</w:t>
      </w:r>
      <w:r>
        <w:rPr>
          <w:rFonts w:cs="FrankRuehl"/>
          <w:color w:val="000000"/>
          <w:sz w:val="28"/>
          <w:szCs w:val="28"/>
          <w:rtl/>
        </w:rPr>
        <w:t xml:space="preserve"> (10.7.2023), להלן: עניין </w:t>
      </w:r>
      <w:r>
        <w:rPr>
          <w:rFonts w:ascii="Miriam" w:hAnsi="Miriam" w:cs="Miriam"/>
          <w:color w:val="000000"/>
          <w:rtl/>
        </w:rPr>
        <w:t>אביטבול</w:t>
      </w:r>
      <w:r>
        <w:rPr>
          <w:rFonts w:cs="FrankRuehl"/>
          <w:color w:val="000000"/>
          <w:sz w:val="28"/>
          <w:szCs w:val="28"/>
          <w:rtl/>
        </w:rPr>
        <w:t>).</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גם בית המשפט העליון כבר קבע כי "מדיניות הענישה בעבירות מין צריכה להיות מחמירה, ולבטא הן את הנזקים המשמעותיים הנגרמים לנפגעות ולנפגעי עבירות אלה והן את האינטרס הציבורי בהרתעתם של עברייני מין פוטנציאליים ממימוש מזימותיהם" (ע"פ</w:t>
      </w:r>
      <w:r>
        <w:rPr>
          <w:rFonts w:ascii="Arial TUR" w:hAnsi="Arial TUR" w:cs="FrankRuehl"/>
          <w:szCs w:val="28"/>
          <w:rtl/>
        </w:rPr>
        <w:t xml:space="preserve"> 3196/16 </w:t>
      </w:r>
      <w:r>
        <w:rPr>
          <w:rFonts w:ascii="Century" w:hAnsi="Century" w:cs="Miriam"/>
          <w:b/>
          <w:rtl/>
        </w:rPr>
        <w:t>טספאנס נ' מדינת ישראל</w:t>
      </w:r>
      <w:r>
        <w:rPr>
          <w:rFonts w:ascii="Arial TUR" w:hAnsi="Arial TUR" w:cs="FrankRuehl"/>
          <w:szCs w:val="28"/>
          <w:rtl/>
        </w:rPr>
        <w:t xml:space="preserve">, פיסקה 9 (21.12.2016), </w:t>
      </w:r>
      <w:r>
        <w:rPr>
          <w:rFonts w:cs="FrankRuehl"/>
          <w:color w:val="000000"/>
          <w:sz w:val="28"/>
          <w:szCs w:val="28"/>
          <w:rtl/>
        </w:rPr>
        <w:t>בהשמטת אסמכתאות).</w:t>
      </w:r>
    </w:p>
    <w:p w:rsidR="00E1430B" w:rsidRDefault="00E1430B" w:rsidP="002C5410">
      <w:pPr>
        <w:keepNext/>
        <w:numPr>
          <w:ilvl w:val="0"/>
          <w:numId w:val="3"/>
        </w:numPr>
        <w:tabs>
          <w:tab w:val="left" w:pos="702"/>
        </w:tabs>
        <w:spacing w:after="240" w:line="360" w:lineRule="auto"/>
        <w:ind w:left="-6" w:firstLine="0"/>
        <w:jc w:val="both"/>
        <w:rPr>
          <w:rFonts w:cs="FrankRuehl"/>
          <w:color w:val="000000"/>
          <w:sz w:val="28"/>
          <w:szCs w:val="28"/>
        </w:rPr>
      </w:pPr>
      <w:r>
        <w:rPr>
          <w:rFonts w:cs="FrankRuehl"/>
          <w:color w:val="000000"/>
          <w:sz w:val="28"/>
          <w:szCs w:val="28"/>
          <w:rtl/>
        </w:rPr>
        <w:t>הדברים נכונים ביתר שאת בכל הנוגע לעבירות מין בקטינים. בית המשפט עמד</w:t>
      </w:r>
    </w:p>
    <w:p w:rsidR="00E1430B" w:rsidRDefault="00E1430B" w:rsidP="00E1430B">
      <w:pPr>
        <w:pStyle w:val="ad"/>
        <w:ind w:left="720"/>
      </w:pPr>
      <w:r>
        <w:rPr>
          <w:rtl/>
        </w:rPr>
        <w:t xml:space="preserve">על החומרה היתרה שגלומה בעבירות מין המבוצעות בקטינים – המתאפיינות בניצול פערי הכוחות האינהרנטיים בין הבגיר לקטין, תוך ניצול תמימותו הטבעית של הקטין לשם סיפוק יצריו של הפוגע, ועל הצורך להביע את סלידתה החמורה של החברה כלפי מי שפגע בגופו ובנפשו של הקטין, פגיעה אשר לא בנקל תימחה על ידי חלוף הזמן. על כן, הכלל הנוהג בפסיקת בית משפט זה הוא שבמקרים של </w:t>
      </w:r>
      <w:r>
        <w:rPr>
          <w:rtl/>
        </w:rPr>
        <w:lastRenderedPageBreak/>
        <w:t>עבירות מין בקטינים יש לנקוט ביד קשה ומרתיעה, שיהא בה כדי להעביר מסר ברור כי הנוטלים לעצמם חירות לפגוע בקטינים צפויים לעונשים כבדים ומשמעותיים.</w:t>
      </w:r>
    </w:p>
    <w:p w:rsidR="00E1430B" w:rsidRDefault="00E1430B" w:rsidP="00E1430B">
      <w:pPr>
        <w:pStyle w:val="ad"/>
        <w:spacing w:after="360"/>
        <w:ind w:left="720"/>
      </w:pPr>
      <w:r>
        <w:rPr>
          <w:rtl/>
        </w:rPr>
        <w:t>(</w:t>
      </w:r>
      <w:r>
        <w:rPr>
          <w:rFonts w:cs="Miriam"/>
          <w:sz w:val="24"/>
          <w:szCs w:val="24"/>
          <w:rtl/>
        </w:rPr>
        <w:t>שם</w:t>
      </w:r>
      <w:r>
        <w:rPr>
          <w:rtl/>
        </w:rPr>
        <w:t xml:space="preserve">; ראו גם </w:t>
      </w:r>
      <w:r>
        <w:rPr>
          <w:rFonts w:ascii="Century" w:hAnsi="Century"/>
          <w:rtl/>
        </w:rPr>
        <w:t xml:space="preserve">ע"פ 6882/14 </w:t>
      </w:r>
      <w:r>
        <w:rPr>
          <w:rFonts w:cs="Miriam"/>
          <w:sz w:val="24"/>
          <w:szCs w:val="24"/>
          <w:rtl/>
        </w:rPr>
        <w:t>פלוני נ' מדינת ישראל</w:t>
      </w:r>
      <w:r>
        <w:rPr>
          <w:rFonts w:ascii="Century" w:hAnsi="Century"/>
          <w:rtl/>
        </w:rPr>
        <w:t>, פיסקה 17 (11.11.2015)</w:t>
      </w:r>
      <w:r>
        <w:rPr>
          <w:rtl/>
        </w:rPr>
        <w:t xml:space="preserve">; ע"פ 8068/21 </w:t>
      </w:r>
      <w:r>
        <w:rPr>
          <w:rFonts w:cs="Miriam"/>
          <w:sz w:val="24"/>
          <w:szCs w:val="24"/>
          <w:rtl/>
        </w:rPr>
        <w:t>מרם נ' מדינת ישראל</w:t>
      </w:r>
      <w:r>
        <w:rPr>
          <w:rtl/>
        </w:rPr>
        <w:t>, פיסקה 9 (4.4.2022))</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דברים </w:t>
      </w:r>
      <w:r w:rsidR="00A91C32">
        <w:rPr>
          <w:rFonts w:cs="FrankRuehl" w:hint="cs"/>
          <w:color w:val="000000"/>
          <w:sz w:val="28"/>
          <w:szCs w:val="28"/>
          <w:rtl/>
        </w:rPr>
        <w:t xml:space="preserve">אלה </w:t>
      </w:r>
      <w:r>
        <w:rPr>
          <w:rFonts w:cs="FrankRuehl"/>
          <w:color w:val="000000"/>
          <w:sz w:val="28"/>
          <w:szCs w:val="28"/>
          <w:rtl/>
        </w:rPr>
        <w:t>נכונים ככלל, והם נכונים בפרט כאשר המעשים נעשו, כמו במקרה שכאן,</w:t>
      </w:r>
    </w:p>
    <w:p w:rsidR="00E1430B" w:rsidRDefault="00E1430B" w:rsidP="002C5410">
      <w:pPr>
        <w:pStyle w:val="ad"/>
        <w:spacing w:after="360"/>
        <w:ind w:left="720"/>
      </w:pPr>
      <w:r>
        <w:rPr>
          <w:rtl/>
        </w:rPr>
        <w:t>על-ידי דמות קרובה, תוך ניצול יחסי אמון.... ענישה מחמירה בכגון דא מחויבת על מנת להלום את חומרתם הרבה של המעשים, לשקף את פגיעתם הקשה מנשוא בנפגעי העבירה, לייצר הרתעה אישית וסביבתית אפקטיבית וכן להביע את שאט הנפש החברתית ממעשים נפשעים מעין אלה (</w:t>
      </w:r>
      <w:r>
        <w:rPr>
          <w:rFonts w:ascii="Arial TUR" w:hAnsi="Arial TUR"/>
          <w:rtl/>
        </w:rPr>
        <w:t xml:space="preserve">עניין </w:t>
      </w:r>
      <w:r>
        <w:rPr>
          <w:rFonts w:ascii="Miriam" w:hAnsi="Miriam" w:cs="Miriam"/>
          <w:b/>
          <w:szCs w:val="24"/>
          <w:rtl/>
        </w:rPr>
        <w:t>שחר</w:t>
      </w:r>
      <w:r>
        <w:rPr>
          <w:rtl/>
        </w:rPr>
        <w:t>, פיסקה 17).</w:t>
      </w:r>
    </w:p>
    <w:p w:rsidR="00E1430B" w:rsidRDefault="00E1430B" w:rsidP="00E1430B">
      <w:pPr>
        <w:numPr>
          <w:ilvl w:val="0"/>
          <w:numId w:val="3"/>
        </w:numPr>
        <w:tabs>
          <w:tab w:val="left" w:pos="702"/>
        </w:tabs>
        <w:spacing w:after="240" w:line="360" w:lineRule="auto"/>
        <w:ind w:left="-7" w:firstLine="0"/>
        <w:jc w:val="both"/>
        <w:rPr>
          <w:rFonts w:ascii="Century" w:hAnsi="Century" w:cs="FrankRuehl"/>
          <w:szCs w:val="28"/>
          <w:u w:val="single"/>
        </w:rPr>
      </w:pPr>
      <w:r>
        <w:rPr>
          <w:rFonts w:cs="FrankRuehl"/>
          <w:color w:val="000000"/>
          <w:sz w:val="28"/>
          <w:szCs w:val="28"/>
          <w:rtl/>
        </w:rPr>
        <w:tab/>
      </w:r>
      <w:bookmarkStart w:id="3" w:name="_Ref145338925"/>
      <w:r>
        <w:rPr>
          <w:rFonts w:cs="FrankRuehl"/>
          <w:color w:val="000000"/>
          <w:sz w:val="28"/>
          <w:szCs w:val="28"/>
          <w:rtl/>
        </w:rPr>
        <w:t xml:space="preserve">ואכן, נקבע כי המוקד בענישה בגין עבירות מסוג זה צריך להיות בשיקולי גמול, הרתעה ומניעה של עבירות נוספות באמצעות הרחקת העבריין מן החברה, ואילו שיקולים אחרים הם בעלי משקל פָּחוּת (ראו </w:t>
      </w:r>
      <w:r>
        <w:rPr>
          <w:rFonts w:ascii="Arial TUR" w:hAnsi="Arial TUR" w:cs="FrankRuehl"/>
          <w:szCs w:val="28"/>
          <w:rtl/>
        </w:rPr>
        <w:t xml:space="preserve">ע"פ 6092/10 </w:t>
      </w:r>
      <w:r>
        <w:rPr>
          <w:rFonts w:ascii="Miriam" w:hAnsi="Miriam" w:cs="Miriam"/>
          <w:sz w:val="20"/>
          <w:rtl/>
        </w:rPr>
        <w:t>פלוני נ' מדינת ישראל</w:t>
      </w:r>
      <w:r>
        <w:rPr>
          <w:rFonts w:ascii="Arial TUR" w:hAnsi="Arial TUR" w:cs="FrankRuehl"/>
          <w:sz w:val="20"/>
          <w:rtl/>
        </w:rPr>
        <w:t xml:space="preserve"> </w:t>
      </w:r>
      <w:r>
        <w:rPr>
          <w:rFonts w:ascii="Arial TUR" w:hAnsi="Arial TUR" w:cs="FrankRuehl"/>
          <w:szCs w:val="28"/>
          <w:rtl/>
        </w:rPr>
        <w:t xml:space="preserve">(18.7.2012); ע"פ 6357/11 </w:t>
      </w:r>
      <w:r>
        <w:rPr>
          <w:rFonts w:cs="Miriam"/>
          <w:sz w:val="28"/>
          <w:rtl/>
        </w:rPr>
        <w:t>ברברמן נ' מדינת ישראל</w:t>
      </w:r>
      <w:r>
        <w:rPr>
          <w:rFonts w:ascii="Arial TUR" w:hAnsi="Arial TUR" w:cs="FrankRuehl"/>
          <w:szCs w:val="28"/>
          <w:rtl/>
        </w:rPr>
        <w:t>,</w:t>
      </w:r>
      <w:r>
        <w:rPr>
          <w:rFonts w:ascii="Century" w:hAnsi="Century" w:cs="FrankRuehl"/>
          <w:szCs w:val="28"/>
          <w:rtl/>
        </w:rPr>
        <w:t xml:space="preserve"> פיסקה 14 (23.6.2013); ע"פ 8153/19 </w:t>
      </w:r>
      <w:r>
        <w:rPr>
          <w:rFonts w:cs="Miriam"/>
          <w:rtl/>
        </w:rPr>
        <w:t>פלוני נ' מדינת ישראל</w:t>
      </w:r>
      <w:r>
        <w:rPr>
          <w:rFonts w:ascii="Century" w:hAnsi="Century" w:cs="FrankRuehl"/>
          <w:szCs w:val="28"/>
          <w:rtl/>
        </w:rPr>
        <w:t>, פיסקה 45 (20.10.2020)</w:t>
      </w:r>
      <w:r>
        <w:rPr>
          <w:rFonts w:ascii="Century" w:hAnsi="Century" w:cs="FrankRuehl"/>
          <w:sz w:val="22"/>
          <w:szCs w:val="28"/>
          <w:rtl/>
        </w:rPr>
        <w:t xml:space="preserve">; </w:t>
      </w:r>
      <w:r>
        <w:rPr>
          <w:rFonts w:ascii="FrankRuehl" w:hAnsi="FrankRuehl" w:cs="FrankRuehl"/>
          <w:sz w:val="28"/>
          <w:szCs w:val="28"/>
          <w:rtl/>
        </w:rPr>
        <w:t xml:space="preserve">ע"פ 7474/19 </w:t>
      </w:r>
      <w:r>
        <w:rPr>
          <w:rFonts w:ascii="Miriam" w:hAnsi="Miriam" w:cs="Miriam"/>
          <w:rtl/>
        </w:rPr>
        <w:t>בן דוד נ' מדינת ישראל</w:t>
      </w:r>
      <w:r>
        <w:rPr>
          <w:rFonts w:ascii="FrankRuehl" w:hAnsi="FrankRuehl" w:cs="FrankRuehl"/>
          <w:sz w:val="28"/>
          <w:szCs w:val="28"/>
          <w:rtl/>
        </w:rPr>
        <w:t>, פיסקה 27 (12.7.2020)</w:t>
      </w:r>
      <w:r>
        <w:rPr>
          <w:rFonts w:ascii="Century" w:hAnsi="Century" w:cs="FrankRuehl"/>
          <w:sz w:val="22"/>
          <w:szCs w:val="28"/>
          <w:rtl/>
        </w:rPr>
        <w:t>). כלשונו של בית המשפט ב</w:t>
      </w:r>
      <w:r>
        <w:rPr>
          <w:rFonts w:ascii="Century" w:hAnsi="Century" w:cs="FrankRuehl"/>
          <w:szCs w:val="28"/>
          <w:rtl/>
        </w:rPr>
        <w:t xml:space="preserve">ע"פ 4731/19 </w:t>
      </w:r>
      <w:r>
        <w:rPr>
          <w:rFonts w:cs="Miriam"/>
          <w:rtl/>
        </w:rPr>
        <w:t>פלוני נ' מדינת ישראל</w:t>
      </w:r>
      <w:r>
        <w:rPr>
          <w:rFonts w:ascii="Century" w:hAnsi="Century" w:cs="FrankRuehl"/>
          <w:szCs w:val="28"/>
          <w:rtl/>
        </w:rPr>
        <w:t>, פיסקה 8 (3.10.2019):</w:t>
      </w:r>
      <w:bookmarkEnd w:id="3"/>
    </w:p>
    <w:p w:rsidR="00E1430B" w:rsidRDefault="00E1430B" w:rsidP="00E1430B">
      <w:pPr>
        <w:pStyle w:val="ad"/>
        <w:spacing w:after="360"/>
        <w:ind w:left="720"/>
        <w:rPr>
          <w:rFonts w:ascii="Century" w:hAnsi="Century"/>
          <w:rtl/>
        </w:rPr>
      </w:pPr>
      <w:r>
        <w:rPr>
          <w:rFonts w:ascii="Century" w:hAnsi="Century"/>
          <w:rtl/>
        </w:rPr>
        <w:t>השיקולים המרכזיים בענישת עברייני מין שביצעו עבירות מין בקטינים הם שיקולי גמול והרתעה, הן כלפי העבריין והן כלפי עבריינים פוטנציאליים, ו[]על העונש לשקף את חומרת המעשים וסלידת החברה ממעשים מיניים מעוותים אלה</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 xml:space="preserve">עיון בפסקי דין שניתנו ביחס לעבירות שבהן הורשע הנאשם, הן אלה שאליהם הפנו הצדדים והן אחרים, מלמד כי הם פרושים על פני מנעד ענישה רחב. לצד נסיבות שאינן קשורות לביצוע העבירה, שמטבע הדברים שונות בעניינו של כל נאשם, יכול המנעד לנבוע גם מנסיבות הקשורות </w:t>
      </w:r>
      <w:r>
        <w:rPr>
          <w:rFonts w:cs="FrankRuehl"/>
          <w:color w:val="000000"/>
          <w:sz w:val="28"/>
          <w:szCs w:val="28"/>
          <w:rtl/>
        </w:rPr>
        <w:lastRenderedPageBreak/>
        <w:t>לביצוע העבירה: מהות וחומרת המעשים הפיסיים; גיל הנפגע; האם המעשים בוצעו חרף התנגדות אקטיבית ומפורשת; היקף המעשים ומידת התמשכותם; ועוד.</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 xml:space="preserve">על רקע השונות הנזכרת, אתייחס לפסקי דין שניתן לדמותם למקרה שכאן, שבו כאמור מדובר היה בליטוף ירכה של הקטינה מבעד לחור בגרביון; בליטוף גבה מעל לבגדיה בתנועות סיבוביות ובהמשך אחיזה בשתי מותניה; ובמספר מעשים של הנחת רגליים על ירכיה מתחת לשולחן. בזהירות ניתן לומר כי לא בכל פסקי הדין ניתן ליישב </w:t>
      </w:r>
      <w:r w:rsidR="00A91C32">
        <w:rPr>
          <w:rFonts w:cs="FrankRuehl" w:hint="cs"/>
          <w:color w:val="000000"/>
          <w:sz w:val="28"/>
          <w:szCs w:val="28"/>
          <w:rtl/>
        </w:rPr>
        <w:t xml:space="preserve">על נקלה </w:t>
      </w:r>
      <w:r>
        <w:rPr>
          <w:rFonts w:cs="FrankRuehl"/>
          <w:color w:val="000000"/>
          <w:sz w:val="28"/>
          <w:szCs w:val="28"/>
          <w:rtl/>
        </w:rPr>
        <w:t xml:space="preserve">את התוצאה הסופית עם הגישה הכללית שצוינה לעיל, וכן עם הגישה המשתקפת בהוראה בדבר עונש </w:t>
      </w:r>
      <w:bookmarkStart w:id="4" w:name="_Ref171248583"/>
      <w:r>
        <w:rPr>
          <w:rFonts w:cs="FrankRuehl"/>
          <w:color w:val="000000"/>
          <w:sz w:val="28"/>
          <w:szCs w:val="28"/>
          <w:rtl/>
        </w:rPr>
        <w:t>מזערי.</w:t>
      </w:r>
      <w:r>
        <w:rPr>
          <w:rStyle w:val="ae"/>
          <w:rFonts w:ascii="FrankRuehl" w:hAnsi="FrankRuehl" w:cs="FrankRuehl"/>
          <w:color w:val="000000"/>
          <w:sz w:val="28"/>
          <w:szCs w:val="28"/>
        </w:rPr>
        <w:t xml:space="preserve"> </w:t>
      </w:r>
      <w:r>
        <w:rPr>
          <w:rStyle w:val="ae"/>
          <w:rFonts w:ascii="FrankRuehl" w:hAnsi="FrankRuehl" w:cs="FrankRuehl"/>
          <w:color w:val="000000"/>
          <w:sz w:val="28"/>
          <w:szCs w:val="28"/>
        </w:rPr>
        <w:footnoteReference w:id="1"/>
      </w:r>
      <w:bookmarkEnd w:id="4"/>
    </w:p>
    <w:p w:rsidR="00E1430B" w:rsidRDefault="00E1430B" w:rsidP="00E1430B">
      <w:pPr>
        <w:numPr>
          <w:ilvl w:val="0"/>
          <w:numId w:val="3"/>
        </w:numPr>
        <w:tabs>
          <w:tab w:val="left" w:pos="702"/>
        </w:tabs>
        <w:spacing w:after="240" w:line="360" w:lineRule="auto"/>
        <w:ind w:left="-7" w:firstLine="0"/>
        <w:jc w:val="both"/>
        <w:rPr>
          <w:rFonts w:ascii="FrankRuehl" w:hAnsi="FrankRuehl" w:cs="FrankRuehl"/>
          <w:sz w:val="28"/>
          <w:szCs w:val="28"/>
        </w:rPr>
      </w:pPr>
      <w:r>
        <w:rPr>
          <w:rFonts w:ascii="FrankRuehl" w:hAnsi="FrankRuehl" w:cs="FrankRuehl"/>
          <w:sz w:val="28"/>
          <w:szCs w:val="28"/>
          <w:rtl/>
        </w:rPr>
        <w:t xml:space="preserve">כך, בע"פ 5966/13 </w:t>
      </w:r>
      <w:r>
        <w:rPr>
          <w:rFonts w:ascii="Miriam" w:hAnsi="Miriam" w:cs="Miriam"/>
          <w:rtl/>
        </w:rPr>
        <w:t>נויעוז נ' מדינת ישראל</w:t>
      </w:r>
      <w:r>
        <w:rPr>
          <w:rFonts w:ascii="FrankRuehl" w:hAnsi="FrankRuehl" w:cs="FrankRuehl"/>
          <w:sz w:val="28"/>
          <w:szCs w:val="28"/>
          <w:rtl/>
        </w:rPr>
        <w:t xml:space="preserve"> (22.12.2014) מדובר היה במורה שנפגש עם תלמידיו, כביכול לצורך לימוד, וביצע בהם עבירות מין. כתב האישום כלל ארבעה אישומים שונים, כל אחד ביחס לתלמיד אחר, ולענייננו הרלוונטיות היא לאישום המתייחס לכך שבכעשר הזדמנויות שונות במהלך כשנתיים הושיב המורה על ברכיו תלמיד שהיה כבן 12 בתחילת התקופה, והצמידו אל גופו. מתחם העונש ההולם שקבעה הערכאה הדיונית בגין מעשים אלה עמד על בין 6 ל-18 חודשי מאסר בפועל (יצוין כי העונש על הנאשם בגין מכלול מעשיו הועמד על 6 שנות מאסר). בית </w:t>
      </w:r>
      <w:r>
        <w:rPr>
          <w:rFonts w:ascii="FrankRuehl" w:hAnsi="FrankRuehl" w:cs="FrankRuehl"/>
          <w:sz w:val="28"/>
          <w:szCs w:val="28"/>
          <w:rtl/>
        </w:rPr>
        <w:lastRenderedPageBreak/>
        <w:t>המשפט העליון דחה את ערעור הנאשם, תוך שציין כי המתחמים שנקבעו סבירים</w:t>
      </w:r>
      <w:r>
        <w:rPr>
          <w:rFonts w:ascii="FrankRuehl" w:hAnsi="FrankRuehl" w:cs="FrankRuehl"/>
          <w:b/>
          <w:bCs/>
          <w:sz w:val="28"/>
          <w:szCs w:val="28"/>
          <w:rtl/>
        </w:rPr>
        <w:t xml:space="preserve">. </w:t>
      </w:r>
      <w:r>
        <w:rPr>
          <w:rFonts w:ascii="FrankRuehl" w:hAnsi="FrankRuehl" w:cs="FrankRuehl"/>
          <w:sz w:val="28"/>
          <w:szCs w:val="28"/>
          <w:rtl/>
        </w:rPr>
        <w:t>במקרה שכאן נראה כי מספר המעשים פָּחוּת (הגם שלא ברור כמה פעמים הניח הנאשם את רגליו על ירכי הקטינה), והם לא כללו הצמדה לגוף על הטוטאליות שיש בה. מנגד, ליטוף הירך מבעד לחור הגרביון נושא חומרה רבה יותר, ואולי גם ליטוף הגב נוכח הפלישה היתירה למרחב האינטימי שהוא עשוי לשקף.</w:t>
      </w:r>
    </w:p>
    <w:p w:rsidR="00E1430B" w:rsidRDefault="00E1430B" w:rsidP="00E1430B">
      <w:pPr>
        <w:tabs>
          <w:tab w:val="left" w:pos="702"/>
        </w:tabs>
        <w:spacing w:after="240" w:line="360" w:lineRule="auto"/>
        <w:ind w:left="-7"/>
        <w:jc w:val="both"/>
        <w:rPr>
          <w:rFonts w:ascii="FrankRuehl" w:hAnsi="FrankRuehl" w:cs="FrankRuehl"/>
          <w:sz w:val="28"/>
          <w:szCs w:val="28"/>
          <w:rtl/>
        </w:rPr>
      </w:pPr>
      <w:r>
        <w:rPr>
          <w:rFonts w:cs="FrankRuehl"/>
          <w:color w:val="000000"/>
          <w:sz w:val="28"/>
          <w:szCs w:val="28"/>
          <w:rtl/>
        </w:rPr>
        <w:tab/>
      </w:r>
      <w:r>
        <w:rPr>
          <w:rFonts w:cs="FrankRuehl"/>
          <w:color w:val="000000"/>
          <w:sz w:val="28"/>
          <w:szCs w:val="28"/>
          <w:rtl/>
        </w:rPr>
        <w:tab/>
        <w:t xml:space="preserve">ברע"פ 1811/22 </w:t>
      </w:r>
      <w:r>
        <w:rPr>
          <w:rFonts w:ascii="Arial TUR" w:hAnsi="Arial TUR" w:cs="Miriam"/>
          <w:rtl/>
        </w:rPr>
        <w:t>חסאן נ' מדינת ישראל</w:t>
      </w:r>
      <w:r>
        <w:rPr>
          <w:rFonts w:cs="FrankRuehl"/>
          <w:color w:val="000000"/>
          <w:sz w:val="28"/>
          <w:szCs w:val="28"/>
          <w:rtl/>
        </w:rPr>
        <w:t xml:space="preserve"> (16.3.2022), שאליו הפנתה המאשימה, מדובר היה במי שהחל לשוחח עם קטינה בת חמש סמוך לביתה, נגע בירכיה, נישק אותה על לחיה, מנע ממנה להיכנס לביתה באמצעות אחיזה בגופה ונישק אותה פעם נוספת על לחיה. הערכאה הדיונית העמידה את מתחם העונש ההולם על בין 10 ל-20 חודשי מאסר, וגזרה את עונשו של הנאשם ברף התחתון. בית המשפט העליון קבע כי מדובר בתוצאה עונשית הולמת, תוך הדגשה כי מעשים מעין אלה טעונים ככלל מאסר מאחורי סורג ובריח. במקרה שכאן הקטינה הייתה בוגרת יותר, וגם המעשים הפיסיים נראים כפחות אגרסיביים. עם זאת, מדובר במעשים רבים יותר, המשקפים חדירה עמוקה למרחב האינטימי, תוך ניצול יחסי אמון.</w:t>
      </w:r>
    </w:p>
    <w:p w:rsidR="00E1430B" w:rsidRDefault="00E1430B" w:rsidP="001C1CCA">
      <w:pPr>
        <w:tabs>
          <w:tab w:val="left" w:pos="702"/>
        </w:tabs>
        <w:spacing w:after="240" w:line="360" w:lineRule="auto"/>
        <w:ind w:left="-7"/>
        <w:jc w:val="both"/>
        <w:rPr>
          <w:rFonts w:ascii="FrankRuehl" w:hAnsi="FrankRuehl" w:cs="FrankRuehl"/>
          <w:sz w:val="28"/>
          <w:szCs w:val="28"/>
          <w:rtl/>
        </w:rPr>
      </w:pPr>
      <w:r>
        <w:rPr>
          <w:rFonts w:cs="FrankRuehl"/>
          <w:color w:val="000000"/>
          <w:sz w:val="28"/>
          <w:szCs w:val="28"/>
          <w:rtl/>
        </w:rPr>
        <w:tab/>
      </w:r>
      <w:r>
        <w:rPr>
          <w:rFonts w:cs="FrankRuehl"/>
          <w:color w:val="000000"/>
          <w:sz w:val="28"/>
          <w:szCs w:val="28"/>
          <w:rtl/>
        </w:rPr>
        <w:tab/>
        <w:t xml:space="preserve">ברע"פ 5603/15 </w:t>
      </w:r>
      <w:r>
        <w:rPr>
          <w:rFonts w:ascii="Arial TUR" w:hAnsi="Arial TUR" w:cs="Miriam"/>
          <w:rtl/>
        </w:rPr>
        <w:t>אמיר נ' מדינת ישראל</w:t>
      </w:r>
      <w:r>
        <w:rPr>
          <w:rFonts w:cs="FrankRuehl"/>
          <w:color w:val="000000"/>
          <w:sz w:val="28"/>
          <w:szCs w:val="28"/>
          <w:rtl/>
        </w:rPr>
        <w:t xml:space="preserve"> (17.9.2015) שאליו הפנה הנאשם, מדובר היה במי שאסף לרכבו קטין כבן 10 תוך התחזות לסוקר של משרד החינוך, נהג לחורשה מבודדת שם תוך כדי שאילת שאלות סקר, כביכול, ליטף את ראשו של הקטין ונגע בחזהו ובשכמו. ערכאת הערעור הקלה בעונש שנגזר בערכאה הדיונית, תוך שקבעה כי מתחם העונש ההולם נע בין 4 ל-18 חודשי מאסר, והעמידה אותו על 6 חודשי מאסר שירוצו בדרך של עבודות שירות. בקשת רשות ערעור שהגיש הנאשם נדחתה. המקרה שכאן חמור יותר מבחינת כמות המעשים ומהותם, וכן מבחינת ניצול האמון שנתנה הקטינה בנאשם כאביה של חברתה הטובה.</w:t>
      </w:r>
      <w:r>
        <w:rPr>
          <w:rFonts w:ascii="FrankRuehl" w:hAnsi="FrankRuehl" w:cs="FrankRuehl"/>
          <w:sz w:val="28"/>
          <w:szCs w:val="28"/>
          <w:rtl/>
        </w:rPr>
        <w:t xml:space="preserve"> מנגד, אין בו את האלמנט המחמיר של לקיחת הקטין למקום מבודד, ושהות משותפת בתוך מרחב קטן של רכב, כפי שפורט בגזר הדין של הערכאה הדיונית</w:t>
      </w:r>
      <w:r w:rsidR="001C1CCA">
        <w:rPr>
          <w:rFonts w:ascii="FrankRuehl" w:hAnsi="FrankRuehl" w:cs="FrankRuehl" w:hint="cs"/>
          <w:sz w:val="28"/>
          <w:szCs w:val="28"/>
          <w:rtl/>
        </w:rPr>
        <w:t>.</w:t>
      </w:r>
      <w:r>
        <w:rPr>
          <w:rFonts w:ascii="FrankRuehl" w:hAnsi="FrankRuehl" w:cs="FrankRuehl"/>
          <w:sz w:val="28"/>
          <w:szCs w:val="28"/>
          <w:rtl/>
        </w:rPr>
        <w:t xml:space="preserve"> גם גיל הקטינה היה פחות צעיר.</w:t>
      </w:r>
    </w:p>
    <w:p w:rsidR="00E1430B" w:rsidRDefault="00E1430B" w:rsidP="00E1430B">
      <w:pPr>
        <w:tabs>
          <w:tab w:val="left" w:pos="702"/>
        </w:tabs>
        <w:spacing w:after="240" w:line="360" w:lineRule="auto"/>
        <w:ind w:left="-7"/>
        <w:jc w:val="both"/>
        <w:rPr>
          <w:rFonts w:ascii="FrankRuehl" w:hAnsi="FrankRuehl" w:cs="FrankRuehl"/>
          <w:sz w:val="28"/>
          <w:szCs w:val="28"/>
          <w:rtl/>
        </w:rPr>
      </w:pPr>
      <w:r>
        <w:rPr>
          <w:rFonts w:cs="FrankRuehl"/>
          <w:color w:val="000000"/>
          <w:sz w:val="28"/>
          <w:szCs w:val="28"/>
          <w:rtl/>
        </w:rPr>
        <w:lastRenderedPageBreak/>
        <w:tab/>
      </w:r>
      <w:r>
        <w:rPr>
          <w:rFonts w:cs="FrankRuehl"/>
          <w:color w:val="000000"/>
          <w:sz w:val="28"/>
          <w:szCs w:val="28"/>
          <w:rtl/>
        </w:rPr>
        <w:tab/>
        <w:t xml:space="preserve">ברע"פ 6122/20 </w:t>
      </w:r>
      <w:r>
        <w:rPr>
          <w:rFonts w:ascii="Arial TUR" w:hAnsi="Arial TUR" w:cs="Miriam"/>
          <w:rtl/>
        </w:rPr>
        <w:t>פלוני נ' מדינת ישראל</w:t>
      </w:r>
      <w:r>
        <w:rPr>
          <w:rFonts w:cs="FrankRuehl"/>
          <w:color w:val="000000"/>
          <w:sz w:val="28"/>
          <w:szCs w:val="28"/>
          <w:rtl/>
        </w:rPr>
        <w:t xml:space="preserve"> (22.9.2020), שגם אליו הפנה הנאשם, מדובר היה בנהג הסעות שבשתי הזדמנויות שונות מישש את בטנה ואת חזה של קטינה כבת 11 מתחת לבגדיה. הערכאה הדיונית קבעה כי מתחם העונש ההולם למעשים נע בין 6 ל-24 חודשי מאסר, וגזרה על הנאשם 8 חודשי מאסר בפועל ולצדם עונשים נלווים, תוך שצוין כי לא ניתן להסתפק בריצוי בדרך של עבודות שירות. ערעור הנאשם נדחה וכך גם בקשת רשות ערעור, תוך שצוין כי "העבירות בהן הורשע [הנאשם], בצירוף נסיבות ביצוען, ובהן ניצול האמון שרכשו לו המתלוננת ומשפחתה וביצוע המעשים במועדים שונים, מעידים על חומרת מעשיו. הדבר מצדיק ענישה במאסר מאחורי סורג ובריח ולא בדרך של עבודות שירות, זאת בראי עקרון ההלימה ועל אף נסיבותיו האישיות של [הנאשם]". המקרה שכאן חמור פחות מבחינת מהות המעשים וגיל הקטינה, אם כי מדובר היה גם במספר מעשים של הנחת רגליים.</w:t>
      </w:r>
    </w:p>
    <w:p w:rsidR="00E1430B" w:rsidRDefault="00E1430B" w:rsidP="00E1430B">
      <w:pPr>
        <w:tabs>
          <w:tab w:val="left" w:pos="702"/>
        </w:tabs>
        <w:spacing w:after="240" w:line="360" w:lineRule="auto"/>
        <w:ind w:left="-7"/>
        <w:jc w:val="both"/>
        <w:rPr>
          <w:rFonts w:ascii="FrankRuehl" w:hAnsi="FrankRuehl" w:cs="FrankRuehl"/>
          <w:sz w:val="28"/>
          <w:szCs w:val="28"/>
          <w:rtl/>
        </w:rPr>
      </w:pPr>
      <w:r>
        <w:rPr>
          <w:rFonts w:ascii="FrankRuehl" w:hAnsi="FrankRuehl" w:cs="FrankRuehl"/>
          <w:sz w:val="28"/>
          <w:szCs w:val="28"/>
          <w:rtl/>
        </w:rPr>
        <w:tab/>
        <w:t>בת"פ (</w:t>
      </w:r>
      <w:r>
        <w:rPr>
          <w:rFonts w:cs="FrankRuehl"/>
          <w:color w:val="000000"/>
          <w:sz w:val="28"/>
          <w:szCs w:val="28"/>
          <w:rtl/>
        </w:rPr>
        <w:t>מחוזי</w:t>
      </w:r>
      <w:r>
        <w:rPr>
          <w:rFonts w:ascii="FrankRuehl" w:hAnsi="FrankRuehl" w:cs="FrankRuehl"/>
          <w:sz w:val="28"/>
          <w:szCs w:val="28"/>
          <w:rtl/>
        </w:rPr>
        <w:t xml:space="preserve"> י-ם) 51898-02-13 </w:t>
      </w:r>
      <w:r>
        <w:rPr>
          <w:rFonts w:ascii="Miriam" w:hAnsi="Miriam" w:cs="Miriam"/>
          <w:rtl/>
        </w:rPr>
        <w:t>מדינת ישראל נ' מאיה</w:t>
      </w:r>
      <w:r>
        <w:rPr>
          <w:rFonts w:ascii="FrankRuehl" w:hAnsi="FrankRuehl" w:cs="FrankRuehl"/>
          <w:sz w:val="28"/>
          <w:szCs w:val="28"/>
          <w:rtl/>
        </w:rPr>
        <w:t xml:space="preserve"> (9.7.2013) מדובר היה במי ששוחח בבית כנסת עם קטין כבן 14.5; הרימו והצמידו לגופו; נגע בשתי ידיו בבטן הקטין וברגלו מחלקה התחתון עד מעל לברך וליטף אותו; ולבסוף אף הציע לו להתלוות אליו לשירותים לצורך המשך מעשיו המיניים. נקבע כי מתחם העונש ההולם נע בין 6 ל-30 חודשים, וכי העונש המתאים הוא 8 חודשי מאסר בפועל לצד עונשים נוספים. מבחינת האופי הפיסי של המעשים, ההשוואה למקרה שכאן היא בעלת פנים לכאן ולכאן. המעשים במקרה שכאן היו פחות תוקפניים ופתאומיים, אולם מנגד הקטינה הייתה צעירה יותר, מדובר במספר מעשים, והם בוצעו על ידי מי שהקטינה נתנה בו אמון ובמרחב שאינו ניטרלי.</w:t>
      </w:r>
    </w:p>
    <w:p w:rsidR="00E1430B" w:rsidRDefault="00E1430B" w:rsidP="00E1430B">
      <w:pPr>
        <w:tabs>
          <w:tab w:val="left" w:pos="702"/>
        </w:tabs>
        <w:spacing w:after="240" w:line="360" w:lineRule="auto"/>
        <w:ind w:left="-7"/>
        <w:jc w:val="both"/>
        <w:rPr>
          <w:rFonts w:ascii="FrankRuehl" w:hAnsi="FrankRuehl" w:cs="FrankRuehl"/>
          <w:sz w:val="28"/>
          <w:szCs w:val="28"/>
          <w:rtl/>
        </w:rPr>
      </w:pPr>
      <w:r>
        <w:rPr>
          <w:rFonts w:ascii="FrankRuehl" w:hAnsi="FrankRuehl" w:cs="FrankRuehl"/>
          <w:sz w:val="28"/>
          <w:szCs w:val="28"/>
          <w:rtl/>
        </w:rPr>
        <w:tab/>
        <w:t xml:space="preserve">בת"פ 23054-08-21 (הנזכר בהערת שוליים </w:t>
      </w:r>
      <w:r>
        <w:rPr>
          <w:rFonts w:ascii="FrankRuehl" w:hAnsi="FrankRuehl" w:cs="FrankRuehl"/>
          <w:sz w:val="28"/>
          <w:szCs w:val="28"/>
          <w:rtl/>
        </w:rPr>
        <w:fldChar w:fldCharType="begin"/>
      </w:r>
      <w:r>
        <w:rPr>
          <w:rFonts w:ascii="FrankRuehl" w:hAnsi="FrankRuehl" w:cs="FrankRuehl"/>
          <w:sz w:val="28"/>
          <w:szCs w:val="28"/>
          <w:rtl/>
        </w:rPr>
        <w:instrText xml:space="preserve"> </w:instrText>
      </w:r>
      <w:r>
        <w:rPr>
          <w:rFonts w:ascii="FrankRuehl" w:hAnsi="FrankRuehl" w:cs="FrankRuehl"/>
          <w:sz w:val="28"/>
          <w:szCs w:val="28"/>
        </w:rPr>
        <w:instrText>NOTEREF</w:instrText>
      </w:r>
      <w:r>
        <w:rPr>
          <w:rFonts w:ascii="FrankRuehl" w:hAnsi="FrankRuehl" w:cs="FrankRuehl"/>
          <w:sz w:val="28"/>
          <w:szCs w:val="28"/>
          <w:rtl/>
        </w:rPr>
        <w:instrText xml:space="preserve"> _</w:instrText>
      </w:r>
      <w:r>
        <w:rPr>
          <w:rFonts w:ascii="FrankRuehl" w:hAnsi="FrankRuehl" w:cs="FrankRuehl"/>
          <w:sz w:val="28"/>
          <w:szCs w:val="28"/>
        </w:rPr>
        <w:instrText>Ref171248583 \h</w:instrText>
      </w:r>
      <w:r>
        <w:rPr>
          <w:rFonts w:ascii="FrankRuehl" w:hAnsi="FrankRuehl" w:cs="FrankRuehl"/>
          <w:sz w:val="28"/>
          <w:szCs w:val="28"/>
          <w:rtl/>
        </w:rPr>
        <w:instrText xml:space="preserve"> </w:instrText>
      </w:r>
      <w:r>
        <w:rPr>
          <w:rFonts w:ascii="FrankRuehl" w:hAnsi="FrankRuehl" w:cs="FrankRuehl"/>
          <w:sz w:val="28"/>
          <w:szCs w:val="28"/>
          <w:rtl/>
        </w:rPr>
      </w:r>
      <w:r>
        <w:rPr>
          <w:rFonts w:ascii="FrankRuehl" w:hAnsi="FrankRuehl" w:cs="FrankRuehl"/>
          <w:sz w:val="28"/>
          <w:szCs w:val="28"/>
          <w:rtl/>
        </w:rPr>
        <w:fldChar w:fldCharType="separate"/>
      </w:r>
      <w:r>
        <w:rPr>
          <w:rFonts w:ascii="FrankRuehl" w:hAnsi="FrankRuehl" w:cs="FrankRuehl"/>
          <w:sz w:val="28"/>
          <w:szCs w:val="28"/>
          <w:rtl/>
        </w:rPr>
        <w:t>1</w:t>
      </w:r>
      <w:r>
        <w:rPr>
          <w:rFonts w:ascii="FrankRuehl" w:hAnsi="FrankRuehl" w:cs="FrankRuehl"/>
          <w:sz w:val="28"/>
          <w:szCs w:val="28"/>
          <w:rtl/>
        </w:rPr>
        <w:fldChar w:fldCharType="end"/>
      </w:r>
      <w:r>
        <w:rPr>
          <w:rFonts w:ascii="FrankRuehl" w:hAnsi="FrankRuehl" w:cs="FrankRuehl"/>
          <w:sz w:val="28"/>
          <w:szCs w:val="28"/>
          <w:rtl/>
        </w:rPr>
        <w:t xml:space="preserve"> לעיל) מדובר היה בנאשם שביצע מעשים מגונים בקטינה כבת 13 ו-7 חודשים בגן ציבורי: הנאשם מישש בחוזקה את כתפי הקטינה, חיבק אותה מסביב לצווארה, מישש את גבה עד פס תחתוניה, וגם לאחר שביקשה שיחדול חזר על מעשים מעין אלה שוב ושוב למרות התנגדותה, לרבות תוך מישוש חזה מעל לבגדיה, חיבוקה ועוד. נקבע כי מתחם העונש ההולם נע בין 4 חודשי מאסר </w:t>
      </w:r>
      <w:r>
        <w:rPr>
          <w:rFonts w:ascii="FrankRuehl" w:hAnsi="FrankRuehl" w:cs="FrankRuehl"/>
          <w:sz w:val="28"/>
          <w:szCs w:val="28"/>
          <w:rtl/>
        </w:rPr>
        <w:lastRenderedPageBreak/>
        <w:t>שירוצו בדרך של עבודות שירות ל-14 חודשי מאסר מאחורי סורג ובריח. מחד גיסא המקרה שם חמור יותר מבחינת התוקפנות, הנרחבות וההתמשכות של המעשים בכלל וחרף ההתנגדות בפרט, אולם מאידך גיסא מדובר במעשה אחד בלבד, וללא נגיעה מתחת לבגדים.</w:t>
      </w:r>
    </w:p>
    <w:p w:rsidR="00E1430B" w:rsidRDefault="00E1430B" w:rsidP="00E1430B">
      <w:pPr>
        <w:tabs>
          <w:tab w:val="left" w:pos="702"/>
        </w:tabs>
        <w:spacing w:after="240" w:line="360" w:lineRule="auto"/>
        <w:ind w:left="-7"/>
        <w:jc w:val="both"/>
        <w:rPr>
          <w:rFonts w:ascii="FrankRuehl" w:hAnsi="FrankRuehl" w:cs="FrankRuehl"/>
          <w:sz w:val="28"/>
          <w:szCs w:val="28"/>
          <w:rtl/>
        </w:rPr>
      </w:pPr>
      <w:r>
        <w:rPr>
          <w:rFonts w:ascii="FrankRuehl" w:hAnsi="FrankRuehl" w:cs="FrankRuehl"/>
          <w:sz w:val="28"/>
          <w:szCs w:val="28"/>
          <w:rtl/>
        </w:rPr>
        <w:tab/>
        <w:t xml:space="preserve">בת"פ (מחוזי י-ם) 5862-12-21 </w:t>
      </w:r>
      <w:r>
        <w:rPr>
          <w:rFonts w:ascii="Miriam" w:hAnsi="Miriam" w:cs="Miriam"/>
          <w:rtl/>
        </w:rPr>
        <w:t>מדינת ישראל נ' סלע</w:t>
      </w:r>
      <w:r>
        <w:rPr>
          <w:rFonts w:ascii="FrankRuehl" w:hAnsi="FrankRuehl" w:cs="FrankRuehl"/>
          <w:sz w:val="28"/>
          <w:szCs w:val="28"/>
          <w:rtl/>
        </w:rPr>
        <w:t xml:space="preserve"> (22.11.2023), שאליו הפנה הנאשם, מדובר היה באדם כבן 77 שביצע מעשה מגונה בקטינה כבת שמונה, בכך שהושיבה על ברכיו, הניח את כף ידו על איבר מינה מעל לבגדיה והזיז אותה מעלה ומטה, ובהזדמנות אחרת ביצע מעשה מגונה בקטינה נוספת כבת שבע, בכך שנישקה בפיה, ליקק אותו ותחב אליו את לשונו, וכן נישק אותה בלחיה. נקבע כי מתחם העונש ההולם נע בין מספר חודשי מאסר שירוצו בדרך של עבודות שירות ל-24 חודשי מאסר מאחורי סורג ובריח, והוטלו על הנאשם 6 חודשי מאסר שירוצו בדרך של עבודות שירות ועונשים נוספים. המקרה שם חמור משמעותית מזה שכאן, נוכח מהות המעשים, העובדה שמדובר היה בשתי קטינות וגילן. עם זאת, מדובר היה בפחות עבירות.</w:t>
      </w:r>
    </w:p>
    <w:p w:rsidR="00E1430B" w:rsidRDefault="00E1430B" w:rsidP="001C1CCA">
      <w:pPr>
        <w:tabs>
          <w:tab w:val="left" w:pos="702"/>
        </w:tabs>
        <w:spacing w:after="240" w:line="360" w:lineRule="auto"/>
        <w:ind w:left="-7"/>
        <w:jc w:val="both"/>
        <w:rPr>
          <w:rFonts w:ascii="FrankRuehl" w:hAnsi="FrankRuehl" w:cs="FrankRuehl"/>
          <w:sz w:val="28"/>
          <w:szCs w:val="28"/>
          <w:rtl/>
        </w:rPr>
      </w:pPr>
      <w:r>
        <w:rPr>
          <w:rFonts w:ascii="FrankRuehl" w:hAnsi="FrankRuehl" w:cs="FrankRuehl"/>
          <w:sz w:val="28"/>
          <w:szCs w:val="28"/>
          <w:rtl/>
        </w:rPr>
        <w:tab/>
        <w:t>הנאשם הפנה גם אל תפ"ח 17592-12-17. לא ניתן היה לעיין בגזר הדין עצמו, אולם ממה שהובא ממנו בת"פ 5862-12-21 הנזכר עולה כי מדובר היה במי שביצע מעשים מגונים רבים בבתה בת ה-12 של רעייתו, לרבות נגיעה בחזה ובישבן מעל לבגדים, ונגזרו עליו 9 חודשי מאסר שירוצו בדרך של עבודות שירות.</w:t>
      </w:r>
    </w:p>
    <w:p w:rsidR="00E1430B" w:rsidRDefault="00E1430B" w:rsidP="002C5410">
      <w:pPr>
        <w:numPr>
          <w:ilvl w:val="0"/>
          <w:numId w:val="3"/>
        </w:numPr>
        <w:tabs>
          <w:tab w:val="left" w:pos="702"/>
        </w:tabs>
        <w:spacing w:after="240" w:line="360" w:lineRule="auto"/>
        <w:ind w:left="-7" w:firstLine="0"/>
        <w:jc w:val="both"/>
        <w:rPr>
          <w:rFonts w:ascii="FrankRuehl" w:hAnsi="FrankRuehl" w:cs="FrankRuehl"/>
          <w:sz w:val="28"/>
          <w:szCs w:val="28"/>
          <w:rtl/>
        </w:rPr>
      </w:pPr>
      <w:r>
        <w:rPr>
          <w:rFonts w:ascii="FrankRuehl" w:hAnsi="FrankRuehl" w:cs="FrankRuehl"/>
          <w:sz w:val="28"/>
          <w:szCs w:val="28"/>
          <w:rtl/>
        </w:rPr>
        <w:lastRenderedPageBreak/>
        <w:tab/>
        <w:t>בשולי הדברים יצוין כי חלק מגזרי הדין שאליהם הפנתה המאשימה מתייחסים למקרים חמורים משמעותית מן המקרה שכאן.</w:t>
      </w:r>
      <w:bookmarkStart w:id="5" w:name="_Ref171252781"/>
      <w:r>
        <w:rPr>
          <w:rStyle w:val="ae"/>
          <w:rFonts w:cs="FrankRuehl"/>
          <w:color w:val="000000"/>
          <w:sz w:val="28"/>
          <w:szCs w:val="28"/>
          <w:rtl/>
        </w:rPr>
        <w:footnoteReference w:id="2"/>
      </w:r>
      <w:bookmarkEnd w:id="5"/>
      <w:r>
        <w:rPr>
          <w:rFonts w:ascii="FrankRuehl" w:hAnsi="FrankRuehl" w:cs="FrankRuehl"/>
          <w:sz w:val="28"/>
          <w:szCs w:val="28"/>
          <w:rtl/>
        </w:rPr>
        <w:t xml:space="preserve"> הוא הדין גם לגזרי דין מסוימים שאליהם הפנה הנאשם. עם זאת, מכך שהרף התחתון של המתחמים שנקבעו במקרים </w:t>
      </w:r>
      <w:r w:rsidR="002C5410">
        <w:rPr>
          <w:rFonts w:ascii="FrankRuehl" w:hAnsi="FrankRuehl" w:cs="FrankRuehl" w:hint="cs"/>
          <w:sz w:val="28"/>
          <w:szCs w:val="28"/>
          <w:rtl/>
        </w:rPr>
        <w:t xml:space="preserve">שאליהם הפנה הנאשם </w:t>
      </w:r>
      <w:r>
        <w:rPr>
          <w:rFonts w:ascii="FrankRuehl" w:hAnsi="FrankRuehl" w:cs="FrankRuehl"/>
          <w:sz w:val="28"/>
          <w:szCs w:val="28"/>
          <w:rtl/>
        </w:rPr>
        <w:t xml:space="preserve">עמד על בין מספר חודשי מאסר (בחלק מן המקרים </w:t>
      </w:r>
      <w:r w:rsidR="001C1CCA">
        <w:rPr>
          <w:rFonts w:ascii="FrankRuehl" w:hAnsi="FrankRuehl" w:cs="FrankRuehl" w:hint="cs"/>
          <w:sz w:val="28"/>
          <w:szCs w:val="28"/>
          <w:rtl/>
        </w:rPr>
        <w:t xml:space="preserve">מאסר </w:t>
      </w:r>
      <w:r>
        <w:rPr>
          <w:rFonts w:ascii="FrankRuehl" w:hAnsi="FrankRuehl" w:cs="FrankRuehl"/>
          <w:sz w:val="28"/>
          <w:szCs w:val="28"/>
          <w:rtl/>
        </w:rPr>
        <w:t>שירוצ</w:t>
      </w:r>
      <w:r w:rsidR="001C1CCA">
        <w:rPr>
          <w:rFonts w:ascii="FrankRuehl" w:hAnsi="FrankRuehl" w:cs="FrankRuehl" w:hint="cs"/>
          <w:sz w:val="28"/>
          <w:szCs w:val="28"/>
          <w:rtl/>
        </w:rPr>
        <w:t>ה</w:t>
      </w:r>
      <w:r>
        <w:rPr>
          <w:rFonts w:ascii="FrankRuehl" w:hAnsi="FrankRuehl" w:cs="FrankRuehl"/>
          <w:sz w:val="28"/>
          <w:szCs w:val="28"/>
          <w:rtl/>
        </w:rPr>
        <w:t xml:space="preserve"> בדרך של עבודות שירות) ל-12 חודשי מאסר, ניתן ללמוד שהרף התחתון במקרה שכאן צריך להיות נמוך יותר.</w:t>
      </w:r>
      <w:r>
        <w:rPr>
          <w:rStyle w:val="ae"/>
          <w:rFonts w:cs="FrankRuehl"/>
          <w:color w:val="000000"/>
          <w:sz w:val="28"/>
          <w:szCs w:val="28"/>
          <w:rtl/>
        </w:rPr>
        <w:footnoteReference w:id="3"/>
      </w:r>
    </w:p>
    <w:p w:rsidR="00E1430B" w:rsidRDefault="00E1430B" w:rsidP="00E1430B">
      <w:pPr>
        <w:tabs>
          <w:tab w:val="left" w:pos="702"/>
        </w:tabs>
        <w:spacing w:after="240" w:line="360" w:lineRule="auto"/>
        <w:ind w:left="-7"/>
        <w:jc w:val="both"/>
        <w:rPr>
          <w:rFonts w:cs="FrankRuehl"/>
          <w:b/>
          <w:bCs/>
          <w:color w:val="000000"/>
          <w:sz w:val="28"/>
          <w:szCs w:val="28"/>
          <w:rtl/>
        </w:rPr>
      </w:pPr>
      <w:r>
        <w:rPr>
          <w:rFonts w:cs="FrankRuehl"/>
          <w:b/>
          <w:bCs/>
          <w:color w:val="000000"/>
          <w:sz w:val="28"/>
          <w:szCs w:val="28"/>
          <w:rtl/>
        </w:rPr>
        <w:lastRenderedPageBreak/>
        <w:t>ה(3)(4) המסקנה בעניין מתחם העונש ההולם למעשי הנאשם</w:t>
      </w:r>
    </w:p>
    <w:p w:rsidR="00E1430B" w:rsidRDefault="00E1430B" w:rsidP="001C1CCA">
      <w:pPr>
        <w:numPr>
          <w:ilvl w:val="0"/>
          <w:numId w:val="3"/>
        </w:numPr>
        <w:tabs>
          <w:tab w:val="left" w:pos="702"/>
        </w:tabs>
        <w:spacing w:after="240" w:line="360" w:lineRule="auto"/>
        <w:ind w:left="-7" w:firstLine="0"/>
        <w:jc w:val="both"/>
        <w:rPr>
          <w:rFonts w:cs="FrankRuehl"/>
          <w:color w:val="000000"/>
          <w:sz w:val="28"/>
          <w:szCs w:val="28"/>
          <w:rtl/>
        </w:rPr>
      </w:pPr>
      <w:r>
        <w:rPr>
          <w:rFonts w:cs="FrankRuehl"/>
          <w:color w:val="000000"/>
          <w:sz w:val="28"/>
          <w:szCs w:val="28"/>
          <w:rtl/>
        </w:rPr>
        <w:t xml:space="preserve">על רקע הערכים החברתיים שנפגעו ומידת הפגיעה שבהם במקרה שכאן, כעולה מן האמור לעיל; על רקע נסיבות ביצוע העבירות על ידי הנאשם, לרבות הנזק שנגרם לקטינה כמתואר בתסקיר בעניינה, וכפי שהתרשמתי בעדותה; על רקע </w:t>
      </w:r>
      <w:r w:rsidR="001C1CCA">
        <w:rPr>
          <w:rFonts w:cs="FrankRuehl" w:hint="cs"/>
          <w:color w:val="000000"/>
          <w:sz w:val="28"/>
          <w:szCs w:val="28"/>
          <w:rtl/>
        </w:rPr>
        <w:t>מדיניות הענישה הכללית שתוארה לעיל; על רקע מדיניות הענישה הנהוגה בפועל כעולה מ</w:t>
      </w:r>
      <w:r>
        <w:rPr>
          <w:rFonts w:cs="FrankRuehl"/>
          <w:color w:val="000000"/>
          <w:sz w:val="28"/>
          <w:szCs w:val="28"/>
          <w:rtl/>
        </w:rPr>
        <w:t>פסקי הדין שהובאו; ועל רקע העובדה כי המשקל העיקרי במקרה שכאן צריך להינתן לשני המעשים המגונים שכללו ליטוף הירך מבעד לבגדים וליטוף הגב עם האחיזה במותניים</w:t>
      </w:r>
      <w:r>
        <w:rPr>
          <w:rFonts w:ascii="FrankRuehl" w:hAnsi="FrankRuehl" w:cs="FrankRuehl"/>
          <w:color w:val="000000"/>
          <w:sz w:val="28"/>
          <w:szCs w:val="28"/>
          <w:rtl/>
        </w:rPr>
        <w:t xml:space="preserve"> – על רקע כל אלה </w:t>
      </w:r>
      <w:r>
        <w:rPr>
          <w:rFonts w:cs="FrankRuehl"/>
          <w:color w:val="000000"/>
          <w:sz w:val="28"/>
          <w:szCs w:val="28"/>
          <w:rtl/>
        </w:rPr>
        <w:t xml:space="preserve">סבורני כי במקרה שכאן מתחם העונש ההולם למעשי הנאשם במכלול </w:t>
      </w:r>
      <w:r w:rsidR="001C1CCA">
        <w:rPr>
          <w:rFonts w:cs="FrankRuehl" w:hint="cs"/>
          <w:color w:val="000000"/>
          <w:sz w:val="28"/>
          <w:szCs w:val="28"/>
          <w:rtl/>
        </w:rPr>
        <w:t xml:space="preserve">נע </w:t>
      </w:r>
      <w:r>
        <w:rPr>
          <w:rFonts w:cs="FrankRuehl"/>
          <w:color w:val="000000"/>
          <w:sz w:val="28"/>
          <w:szCs w:val="28"/>
          <w:rtl/>
        </w:rPr>
        <w:t>בין 7 חודשי מאסר, שבמקרים חריגים ניתן יהיה לרצותם בדרך של עבודות שירות, ל-21 חודשי מאסר בפועל, ולצדם מאסר על תנאי משמעותי.</w:t>
      </w:r>
    </w:p>
    <w:p w:rsidR="00E1430B" w:rsidRDefault="00E1430B" w:rsidP="002C5410">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כמו כן בשים לב לפגיעה </w:t>
      </w:r>
      <w:r w:rsidR="002C5410">
        <w:rPr>
          <w:rFonts w:cs="FrankRuehl" w:hint="cs"/>
          <w:color w:val="000000"/>
          <w:sz w:val="28"/>
          <w:szCs w:val="28"/>
          <w:rtl/>
        </w:rPr>
        <w:t xml:space="preserve">הנמשכת </w:t>
      </w:r>
      <w:r>
        <w:rPr>
          <w:rFonts w:cs="FrankRuehl"/>
          <w:color w:val="000000"/>
          <w:sz w:val="28"/>
          <w:szCs w:val="28"/>
          <w:rtl/>
        </w:rPr>
        <w:t>ב</w:t>
      </w:r>
      <w:r w:rsidR="002C5410">
        <w:rPr>
          <w:rFonts w:cs="FrankRuehl" w:hint="cs"/>
          <w:color w:val="000000"/>
          <w:sz w:val="28"/>
          <w:szCs w:val="28"/>
          <w:rtl/>
        </w:rPr>
        <w:t>קטינה</w:t>
      </w:r>
      <w:r>
        <w:rPr>
          <w:rFonts w:cs="FrankRuehl"/>
          <w:color w:val="000000"/>
          <w:sz w:val="28"/>
          <w:szCs w:val="28"/>
          <w:rtl/>
        </w:rPr>
        <w:t>, סבורני כי המתחם צריך לכלול עונש של פיצוי ממשי.</w:t>
      </w:r>
    </w:p>
    <w:p w:rsidR="00E1430B" w:rsidRDefault="00E1430B" w:rsidP="00E1430B">
      <w:pPr>
        <w:tabs>
          <w:tab w:val="left" w:pos="702"/>
        </w:tabs>
        <w:spacing w:after="240"/>
        <w:ind w:left="-7"/>
        <w:rPr>
          <w:rFonts w:cs="FrankRuehl"/>
          <w:color w:val="000000"/>
          <w:sz w:val="28"/>
          <w:szCs w:val="28"/>
        </w:rPr>
      </w:pPr>
      <w:r>
        <w:rPr>
          <w:rFonts w:cs="FrankRuehl"/>
          <w:color w:val="000000"/>
          <w:sz w:val="28"/>
          <w:szCs w:val="28"/>
          <w:rtl/>
        </w:rPr>
        <w:t xml:space="preserve">ה(4) </w:t>
      </w:r>
      <w:r>
        <w:rPr>
          <w:rFonts w:cs="FrankRuehl"/>
          <w:color w:val="000000"/>
          <w:sz w:val="28"/>
          <w:szCs w:val="28"/>
          <w:u w:val="single"/>
          <w:rtl/>
        </w:rPr>
        <w:t>העונש המתאים בתוך המתחם</w:t>
      </w:r>
      <w:r>
        <w:rPr>
          <w:rFonts w:cs="FrankRuehl"/>
          <w:color w:val="000000"/>
          <w:sz w:val="28"/>
          <w:szCs w:val="28"/>
          <w:rtl/>
        </w:rPr>
        <w:t xml:space="preserve"> (סעיף 40יא לחוק)</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בגזירת עונשו של הנאשם בתוך המתחם יש להתחשב בנסיבות שאינן קשורות בביצוע העבירה וכן בשיקולי הרתעה.</w:t>
      </w:r>
    </w:p>
    <w:p w:rsidR="00E1430B" w:rsidRDefault="00E1430B" w:rsidP="001B0768">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במקרה שכאן מדובר בנאשם כבן 44.5, נשוי ואב לחמישה, אשר שרת כ</w:t>
      </w:r>
      <w:r w:rsidR="001B0768">
        <w:rPr>
          <w:rFonts w:cs="FrankRuehl" w:hint="cs"/>
          <w:color w:val="000000"/>
          <w:sz w:val="28"/>
          <w:szCs w:val="28"/>
          <w:rtl/>
        </w:rPr>
        <w:t>-</w:t>
      </w:r>
      <w:r w:rsidR="001B0768">
        <w:rPr>
          <w:rFonts w:cs="FrankRuehl" w:hint="cs"/>
          <w:color w:val="000000"/>
          <w:sz w:val="28"/>
          <w:szCs w:val="28"/>
        </w:rPr>
        <w:t>XXXX</w:t>
      </w:r>
      <w:r w:rsidR="001B0768">
        <w:rPr>
          <w:rFonts w:cs="FrankRuehl" w:hint="cs"/>
          <w:color w:val="000000"/>
          <w:sz w:val="28"/>
          <w:szCs w:val="28"/>
          <w:rtl/>
        </w:rPr>
        <w:t xml:space="preserve"> </w:t>
      </w:r>
      <w:r>
        <w:rPr>
          <w:rFonts w:cs="FrankRuehl"/>
          <w:color w:val="000000"/>
          <w:sz w:val="28"/>
          <w:szCs w:val="28"/>
          <w:rtl/>
        </w:rPr>
        <w:t>ב</w:t>
      </w:r>
      <w:r w:rsidR="001B0768">
        <w:rPr>
          <w:rFonts w:cs="FrankRuehl" w:hint="cs"/>
          <w:color w:val="000000"/>
          <w:sz w:val="28"/>
          <w:szCs w:val="28"/>
          <w:rtl/>
        </w:rPr>
        <w:t>-</w:t>
      </w:r>
      <w:r w:rsidR="001B0768">
        <w:rPr>
          <w:rFonts w:cs="FrankRuehl" w:hint="cs"/>
          <w:color w:val="000000"/>
          <w:sz w:val="28"/>
          <w:szCs w:val="28"/>
        </w:rPr>
        <w:t>XXXX</w:t>
      </w:r>
      <w:r>
        <w:rPr>
          <w:rFonts w:cs="FrankRuehl"/>
          <w:color w:val="000000"/>
          <w:sz w:val="28"/>
          <w:szCs w:val="28"/>
          <w:rtl/>
        </w:rPr>
        <w:t xml:space="preserve"> עד פיטוריו בעקבות הרשעתו. בשנת 2011 הורשע הנאשם בגרימת מוות ברשלנות, וריצה עונש של שירות לתועלת הציבור.</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המאשימה טענה כי עברו הפלילי של הנאשם צריך להיזקף לחובתו. לטעמי, ספק אם ניתן לשקול עבר פלילי זה, ובכל מקרה אין ליתן לו משקל משמעותי: </w:t>
      </w:r>
      <w:r>
        <w:rPr>
          <w:rFonts w:ascii="Miriam" w:hAnsi="Miriam" w:cs="Miriam"/>
          <w:rtl/>
        </w:rPr>
        <w:t>ראשית</w:t>
      </w:r>
      <w:r>
        <w:rPr>
          <w:rFonts w:cs="FrankRuehl"/>
          <w:color w:val="000000"/>
          <w:sz w:val="28"/>
          <w:szCs w:val="28"/>
          <w:rtl/>
        </w:rPr>
        <w:t xml:space="preserve">, הרשעת הנאשם התיישנה כבר בשנת 2018, וכדי שניתן יהיה לגלותה עליה להיות מהותית לנושא הדיון (ראו סעיף 2(6)(א) </w:t>
      </w:r>
      <w:r>
        <w:rPr>
          <w:rFonts w:cs="FrankRuehl"/>
          <w:color w:val="000000"/>
          <w:sz w:val="28"/>
          <w:szCs w:val="28"/>
          <w:rtl/>
        </w:rPr>
        <w:lastRenderedPageBreak/>
        <w:t xml:space="preserve">לתוספת הראשונה של חוק המידע הפלילי ותקנת השבים, התשע"ט-2019). במקרה שכאן, השוני בין מהות העבירה שביסוד אותה הרשעה לבין העבירות שבהן הורשע הנאשם כעת מעורר ספק בדבר מהותיותה לדיון. </w:t>
      </w:r>
      <w:r>
        <w:rPr>
          <w:rFonts w:ascii="Miriam" w:hAnsi="Miriam" w:cs="Miriam"/>
          <w:rtl/>
        </w:rPr>
        <w:t>שנית</w:t>
      </w:r>
      <w:r>
        <w:rPr>
          <w:rFonts w:cs="FrankRuehl"/>
          <w:color w:val="000000"/>
          <w:sz w:val="28"/>
          <w:szCs w:val="28"/>
          <w:rtl/>
        </w:rPr>
        <w:t>, נוכח השוני הנזכר, נראה כי בכל מקרה אין לייחס משקל משמעותי להרשעה זו. יש לציין גם שבעקבות אותה הרשעה הנאשם ריצה עונש של שירות לתועלת הציבור ולא עונש מאסר בפועל.</w:t>
      </w:r>
    </w:p>
    <w:p w:rsidR="00E1430B" w:rsidRDefault="00E1430B" w:rsidP="00E66E8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עם זאת, הנאשם אינו זכאי להקלה ולהתחשבות בשל לקיחת אחריות</w:t>
      </w:r>
      <w:r w:rsidR="004A4A38">
        <w:rPr>
          <w:rFonts w:cs="FrankRuehl" w:hint="cs"/>
          <w:color w:val="000000"/>
          <w:sz w:val="28"/>
          <w:szCs w:val="28"/>
          <w:rtl/>
        </w:rPr>
        <w:t xml:space="preserve"> ובשל חיסכון בזמנם של בית המשפט ושל גורמי האכיפה</w:t>
      </w:r>
      <w:r>
        <w:rPr>
          <w:rFonts w:cs="FrankRuehl"/>
          <w:color w:val="000000"/>
          <w:sz w:val="28"/>
          <w:szCs w:val="28"/>
          <w:rtl/>
        </w:rPr>
        <w:t>.</w:t>
      </w:r>
      <w:r w:rsidR="004A4A38">
        <w:rPr>
          <w:rFonts w:cs="FrankRuehl" w:hint="cs"/>
          <w:color w:val="000000"/>
          <w:sz w:val="28"/>
          <w:szCs w:val="28"/>
          <w:rtl/>
        </w:rPr>
        <w:t xml:space="preserve"> הקטינה גם נדרשה להעיד, על כל הקושי הכרוך בכך והנזק הנלווה לכך (וזאת מבלי לגרוע מן ההערכה לאופן הזהיר שבו חקר אותה בא כוח הנאשם).</w:t>
      </w:r>
      <w:r>
        <w:rPr>
          <w:rFonts w:cs="FrankRuehl"/>
          <w:color w:val="000000"/>
          <w:sz w:val="28"/>
          <w:szCs w:val="28"/>
          <w:rtl/>
        </w:rPr>
        <w:t xml:space="preserve"> </w:t>
      </w:r>
      <w:r w:rsidR="004A4A38">
        <w:rPr>
          <w:rFonts w:cs="FrankRuehl" w:hint="cs"/>
          <w:color w:val="000000"/>
          <w:sz w:val="28"/>
          <w:szCs w:val="28"/>
          <w:rtl/>
        </w:rPr>
        <w:t>לא זו בלבד, אלא ש</w:t>
      </w:r>
      <w:r>
        <w:rPr>
          <w:rFonts w:cs="FrankRuehl"/>
          <w:color w:val="000000"/>
          <w:sz w:val="28"/>
          <w:szCs w:val="28"/>
          <w:rtl/>
        </w:rPr>
        <w:t>גם כעת ה</w:t>
      </w:r>
      <w:r w:rsidR="002C5410">
        <w:rPr>
          <w:rFonts w:cs="FrankRuehl" w:hint="cs"/>
          <w:color w:val="000000"/>
          <w:sz w:val="28"/>
          <w:szCs w:val="28"/>
          <w:rtl/>
        </w:rPr>
        <w:t xml:space="preserve">פגיעה </w:t>
      </w:r>
      <w:r>
        <w:rPr>
          <w:rFonts w:cs="FrankRuehl"/>
          <w:color w:val="000000"/>
          <w:sz w:val="28"/>
          <w:szCs w:val="28"/>
          <w:rtl/>
        </w:rPr>
        <w:t>בקטינה ובמשפחתה</w:t>
      </w:r>
      <w:r w:rsidR="002C5410">
        <w:rPr>
          <w:rFonts w:cs="FrankRuehl" w:hint="cs"/>
          <w:color w:val="000000"/>
          <w:sz w:val="28"/>
          <w:szCs w:val="28"/>
          <w:rtl/>
        </w:rPr>
        <w:t xml:space="preserve"> נמשכת</w:t>
      </w:r>
      <w:r>
        <w:rPr>
          <w:rFonts w:cs="FrankRuehl"/>
          <w:color w:val="000000"/>
          <w:sz w:val="28"/>
          <w:szCs w:val="28"/>
          <w:rtl/>
        </w:rPr>
        <w:t>, כעולה מן האמור בתסקיר בעניינה</w:t>
      </w:r>
      <w:r w:rsidR="004A4A38">
        <w:rPr>
          <w:rFonts w:cs="FrankRuehl" w:hint="cs"/>
          <w:color w:val="000000"/>
          <w:sz w:val="28"/>
          <w:szCs w:val="28"/>
          <w:rtl/>
        </w:rPr>
        <w:t>.</w:t>
      </w:r>
      <w:r>
        <w:rPr>
          <w:rFonts w:cs="FrankRuehl"/>
          <w:color w:val="000000"/>
          <w:sz w:val="28"/>
          <w:szCs w:val="28"/>
          <w:rtl/>
        </w:rPr>
        <w:t xml:space="preserve"> </w:t>
      </w:r>
      <w:r w:rsidR="001C1CCA">
        <w:rPr>
          <w:rFonts w:cs="FrankRuehl" w:hint="cs"/>
          <w:color w:val="000000"/>
          <w:sz w:val="28"/>
          <w:szCs w:val="28"/>
          <w:rtl/>
        </w:rPr>
        <w:t>מבלי ל</w:t>
      </w:r>
      <w:r w:rsidR="004A4A38">
        <w:rPr>
          <w:rFonts w:cs="FrankRuehl" w:hint="cs"/>
          <w:color w:val="000000"/>
          <w:sz w:val="28"/>
          <w:szCs w:val="28"/>
          <w:rtl/>
        </w:rPr>
        <w:t xml:space="preserve">גרוע מזכותו </w:t>
      </w:r>
      <w:r w:rsidR="002C5410">
        <w:rPr>
          <w:rFonts w:cs="FrankRuehl" w:hint="cs"/>
          <w:color w:val="000000"/>
          <w:sz w:val="28"/>
          <w:szCs w:val="28"/>
          <w:rtl/>
        </w:rPr>
        <w:t xml:space="preserve">של הנאשם </w:t>
      </w:r>
      <w:r w:rsidR="004A4A38">
        <w:rPr>
          <w:rFonts w:cs="FrankRuehl" w:hint="cs"/>
          <w:color w:val="000000"/>
          <w:sz w:val="28"/>
          <w:szCs w:val="28"/>
          <w:rtl/>
        </w:rPr>
        <w:t>לעמוד על חפותו</w:t>
      </w:r>
      <w:r w:rsidR="002C5410">
        <w:rPr>
          <w:rFonts w:cs="FrankRuehl" w:hint="cs"/>
          <w:color w:val="000000"/>
          <w:sz w:val="28"/>
          <w:szCs w:val="28"/>
          <w:rtl/>
        </w:rPr>
        <w:t>,</w:t>
      </w:r>
      <w:r w:rsidR="004A4A38">
        <w:rPr>
          <w:rFonts w:cs="FrankRuehl" w:hint="cs"/>
          <w:color w:val="000000"/>
          <w:sz w:val="28"/>
          <w:szCs w:val="28"/>
          <w:rtl/>
        </w:rPr>
        <w:t xml:space="preserve"> ומבלי ל</w:t>
      </w:r>
      <w:r w:rsidR="001C1CCA">
        <w:rPr>
          <w:rFonts w:cs="FrankRuehl" w:hint="cs"/>
          <w:color w:val="000000"/>
          <w:sz w:val="28"/>
          <w:szCs w:val="28"/>
          <w:rtl/>
        </w:rPr>
        <w:t xml:space="preserve">הביע </w:t>
      </w:r>
      <w:r w:rsidR="004A4A38">
        <w:rPr>
          <w:rFonts w:cs="FrankRuehl" w:hint="cs"/>
          <w:color w:val="000000"/>
          <w:sz w:val="28"/>
          <w:szCs w:val="28"/>
          <w:rtl/>
        </w:rPr>
        <w:t>עמדה בשאל</w:t>
      </w:r>
      <w:r w:rsidR="00E66E8F">
        <w:rPr>
          <w:rFonts w:cs="FrankRuehl" w:hint="cs"/>
          <w:color w:val="000000"/>
          <w:sz w:val="28"/>
          <w:szCs w:val="28"/>
          <w:rtl/>
        </w:rPr>
        <w:t xml:space="preserve">ת </w:t>
      </w:r>
      <w:r w:rsidR="004A4A38">
        <w:rPr>
          <w:rFonts w:cs="FrankRuehl" w:hint="cs"/>
          <w:color w:val="000000"/>
          <w:sz w:val="28"/>
          <w:szCs w:val="28"/>
          <w:rtl/>
        </w:rPr>
        <w:t>מקור השמועות ביישוב ביחס לקטינה</w:t>
      </w:r>
      <w:r w:rsidR="00E66E8F">
        <w:rPr>
          <w:rFonts w:cs="FrankRuehl" w:hint="cs"/>
          <w:color w:val="000000"/>
          <w:sz w:val="28"/>
          <w:szCs w:val="28"/>
          <w:rtl/>
        </w:rPr>
        <w:t xml:space="preserve">, הרי שבפועל </w:t>
      </w:r>
      <w:r w:rsidR="00E66E8F">
        <w:rPr>
          <w:rFonts w:cs="FrankRuehl"/>
          <w:color w:val="000000"/>
          <w:sz w:val="28"/>
          <w:szCs w:val="28"/>
          <w:rtl/>
        </w:rPr>
        <w:t xml:space="preserve">הפגיעה </w:t>
      </w:r>
      <w:r w:rsidR="00E66E8F">
        <w:rPr>
          <w:rFonts w:cs="FrankRuehl" w:hint="cs"/>
          <w:color w:val="000000"/>
          <w:sz w:val="28"/>
          <w:szCs w:val="28"/>
          <w:rtl/>
        </w:rPr>
        <w:t>בשל המעשים שביצע הנאשם בקטינה מתמשכת, ו</w:t>
      </w:r>
      <w:r w:rsidR="00E66E8F">
        <w:rPr>
          <w:rFonts w:cs="FrankRuehl"/>
          <w:color w:val="000000"/>
          <w:sz w:val="28"/>
          <w:szCs w:val="28"/>
          <w:rtl/>
        </w:rPr>
        <w:t>מהווה שיקול לחובת</w:t>
      </w:r>
      <w:r w:rsidR="00E66E8F">
        <w:rPr>
          <w:rFonts w:cs="FrankRuehl" w:hint="cs"/>
          <w:color w:val="000000"/>
          <w:sz w:val="28"/>
          <w:szCs w:val="28"/>
          <w:rtl/>
        </w:rPr>
        <w:t>ו</w:t>
      </w:r>
      <w:r>
        <w:rPr>
          <w:rFonts w:cs="FrankRuehl"/>
          <w:color w:val="000000"/>
          <w:sz w:val="28"/>
          <w:szCs w:val="28"/>
          <w:rtl/>
        </w:rPr>
        <w:t>. כמו כן נוכח עמדתו העקבית של הנאשם, לא ניתן לומר כי הוא עבר תהליך כלשהו של מיתון המסוכנות העולה ממעשיו, וממילא יש ליתן משקל לצורך בהרתעה אישית. זאת מעבר למשקל שיש ליתן לצורך בהתרעת ה</w:t>
      </w:r>
      <w:r w:rsidR="00E66E8F">
        <w:rPr>
          <w:rFonts w:cs="FrankRuehl"/>
          <w:color w:val="000000"/>
          <w:sz w:val="28"/>
          <w:szCs w:val="28"/>
          <w:rtl/>
        </w:rPr>
        <w:t>רבים במעשים כגון דא, ש</w:t>
      </w:r>
      <w:r w:rsidR="00E66E8F">
        <w:rPr>
          <w:rFonts w:cs="FrankRuehl" w:hint="cs"/>
          <w:color w:val="000000"/>
          <w:sz w:val="28"/>
          <w:szCs w:val="28"/>
          <w:rtl/>
        </w:rPr>
        <w:t>מיצוי הדין בגינם הוא מורכב</w:t>
      </w:r>
      <w:r>
        <w:rPr>
          <w:rFonts w:cs="FrankRuehl"/>
          <w:color w:val="000000"/>
          <w:sz w:val="28"/>
          <w:szCs w:val="28"/>
          <w:rtl/>
        </w:rPr>
        <w:t>.</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מנגד, קיימות נסיבות הפועלות לטובת הנאשם.</w:t>
      </w:r>
    </w:p>
    <w:p w:rsidR="00E1430B" w:rsidRDefault="00E1430B" w:rsidP="00B57297">
      <w:pPr>
        <w:tabs>
          <w:tab w:val="left" w:pos="702"/>
        </w:tabs>
        <w:spacing w:after="240" w:line="360" w:lineRule="auto"/>
        <w:ind w:left="-7"/>
        <w:jc w:val="both"/>
        <w:rPr>
          <w:rFonts w:cs="FrankRuehl"/>
          <w:color w:val="000000"/>
          <w:sz w:val="28"/>
          <w:szCs w:val="28"/>
        </w:rPr>
      </w:pPr>
      <w:r>
        <w:rPr>
          <w:rFonts w:cs="FrankRuehl"/>
          <w:color w:val="000000"/>
          <w:sz w:val="28"/>
          <w:szCs w:val="28"/>
          <w:rtl/>
        </w:rPr>
        <w:tab/>
      </w:r>
      <w:r>
        <w:rPr>
          <w:rFonts w:ascii="Miriam" w:hAnsi="Miriam" w:cs="Miriam"/>
          <w:rtl/>
        </w:rPr>
        <w:t>ראשית</w:t>
      </w:r>
      <w:r>
        <w:rPr>
          <w:rFonts w:cs="FrankRuehl"/>
          <w:color w:val="000000"/>
          <w:sz w:val="28"/>
          <w:szCs w:val="28"/>
          <w:rtl/>
        </w:rPr>
        <w:t xml:space="preserve">, </w:t>
      </w:r>
      <w:r>
        <w:rPr>
          <w:rFonts w:ascii="FrankRuehl" w:hAnsi="FrankRuehl" w:cs="FrankRuehl"/>
          <w:color w:val="000000"/>
          <w:sz w:val="28"/>
          <w:szCs w:val="28"/>
          <w:rtl/>
        </w:rPr>
        <w:t>אמנם ממועד הגשת כתב האישום ועד הכרעת הדין חלפו כתשעה חודשים בלבד, אולם מתום החקירה ועד הגשת כתב האישום חלפו כשנה ותשעה חודשים</w:t>
      </w:r>
      <w:r w:rsidR="004A4A38">
        <w:rPr>
          <w:rFonts w:ascii="FrankRuehl" w:hAnsi="FrankRuehl" w:cs="FrankRuehl" w:hint="cs"/>
          <w:color w:val="000000"/>
          <w:sz w:val="28"/>
          <w:szCs w:val="28"/>
          <w:rtl/>
        </w:rPr>
        <w:t>,</w:t>
      </w:r>
      <w:r>
        <w:rPr>
          <w:rFonts w:ascii="FrankRuehl" w:hAnsi="FrankRuehl" w:cs="FrankRuehl"/>
          <w:color w:val="000000"/>
          <w:sz w:val="28"/>
          <w:szCs w:val="28"/>
          <w:rtl/>
        </w:rPr>
        <w:t xml:space="preserve"> </w:t>
      </w:r>
      <w:r w:rsidR="004A4A38">
        <w:rPr>
          <w:rFonts w:ascii="FrankRuehl" w:hAnsi="FrankRuehl" w:cs="FrankRuehl" w:hint="cs"/>
          <w:color w:val="000000"/>
          <w:sz w:val="28"/>
          <w:szCs w:val="28"/>
          <w:rtl/>
        </w:rPr>
        <w:t>ולעיכוב זה לא ניתן הסבר כלשהו</w:t>
      </w:r>
      <w:r>
        <w:rPr>
          <w:rFonts w:ascii="FrankRuehl" w:hAnsi="FrankRuehl" w:cs="FrankRuehl"/>
          <w:color w:val="000000"/>
          <w:sz w:val="28"/>
          <w:szCs w:val="28"/>
          <w:rtl/>
        </w:rPr>
        <w:t xml:space="preserve">. </w:t>
      </w:r>
      <w:r w:rsidR="004A4A38">
        <w:rPr>
          <w:rFonts w:ascii="FrankRuehl" w:hAnsi="FrankRuehl" w:cs="FrankRuehl" w:hint="cs"/>
          <w:color w:val="000000"/>
          <w:sz w:val="28"/>
          <w:szCs w:val="28"/>
          <w:rtl/>
        </w:rPr>
        <w:t>לאותו עיכוב מצטרף העיכו</w:t>
      </w:r>
      <w:r w:rsidR="00B57297">
        <w:rPr>
          <w:rFonts w:ascii="FrankRuehl" w:hAnsi="FrankRuehl" w:cs="FrankRuehl" w:hint="cs"/>
          <w:color w:val="000000"/>
          <w:sz w:val="28"/>
          <w:szCs w:val="28"/>
          <w:rtl/>
        </w:rPr>
        <w:t>ב ב</w:t>
      </w:r>
      <w:r>
        <w:rPr>
          <w:rFonts w:ascii="FrankRuehl" w:hAnsi="FrankRuehl" w:cs="FrankRuehl"/>
          <w:color w:val="000000"/>
          <w:sz w:val="28"/>
          <w:szCs w:val="28"/>
          <w:rtl/>
        </w:rPr>
        <w:t>הליך גזירת הדין בשל שירות המילואים של הנאשם</w:t>
      </w:r>
      <w:r w:rsidR="00B57297">
        <w:rPr>
          <w:rFonts w:ascii="FrankRuehl" w:hAnsi="FrankRuehl" w:cs="FrankRuehl" w:hint="cs"/>
          <w:color w:val="000000"/>
          <w:sz w:val="28"/>
          <w:szCs w:val="28"/>
          <w:rtl/>
        </w:rPr>
        <w:t xml:space="preserve">, שאינו </w:t>
      </w:r>
      <w:r>
        <w:rPr>
          <w:rFonts w:ascii="FrankRuehl" w:hAnsi="FrankRuehl" w:cs="FrankRuehl"/>
          <w:color w:val="000000"/>
          <w:sz w:val="28"/>
          <w:szCs w:val="28"/>
          <w:rtl/>
        </w:rPr>
        <w:t>נזק</w:t>
      </w:r>
      <w:r w:rsidR="00B57297">
        <w:rPr>
          <w:rFonts w:ascii="FrankRuehl" w:hAnsi="FrankRuehl" w:cs="FrankRuehl" w:hint="cs"/>
          <w:color w:val="000000"/>
          <w:sz w:val="28"/>
          <w:szCs w:val="28"/>
          <w:rtl/>
        </w:rPr>
        <w:t>ף</w:t>
      </w:r>
      <w:r>
        <w:rPr>
          <w:rFonts w:ascii="FrankRuehl" w:hAnsi="FrankRuehl" w:cs="FrankRuehl"/>
          <w:color w:val="000000"/>
          <w:sz w:val="28"/>
          <w:szCs w:val="28"/>
          <w:rtl/>
        </w:rPr>
        <w:t xml:space="preserve"> לחובת המאשימה, אך </w:t>
      </w:r>
      <w:r w:rsidR="00B57297">
        <w:rPr>
          <w:rFonts w:ascii="FrankRuehl" w:hAnsi="FrankRuehl" w:cs="FrankRuehl" w:hint="cs"/>
          <w:color w:val="000000"/>
          <w:sz w:val="28"/>
          <w:szCs w:val="28"/>
          <w:rtl/>
        </w:rPr>
        <w:t xml:space="preserve">המצב </w:t>
      </w:r>
      <w:r>
        <w:rPr>
          <w:rFonts w:ascii="FrankRuehl" w:hAnsi="FrankRuehl" w:cs="FrankRuehl"/>
          <w:color w:val="000000"/>
          <w:sz w:val="28"/>
          <w:szCs w:val="28"/>
          <w:rtl/>
        </w:rPr>
        <w:t>בפועל ה</w:t>
      </w:r>
      <w:r w:rsidR="00B57297">
        <w:rPr>
          <w:rFonts w:ascii="FrankRuehl" w:hAnsi="FrankRuehl" w:cs="FrankRuehl" w:hint="cs"/>
          <w:color w:val="000000"/>
          <w:sz w:val="28"/>
          <w:szCs w:val="28"/>
          <w:rtl/>
        </w:rPr>
        <w:t>ו</w:t>
      </w:r>
      <w:r>
        <w:rPr>
          <w:rFonts w:ascii="FrankRuehl" w:hAnsi="FrankRuehl" w:cs="FrankRuehl"/>
          <w:color w:val="000000"/>
          <w:sz w:val="28"/>
          <w:szCs w:val="28"/>
          <w:rtl/>
        </w:rPr>
        <w:t xml:space="preserve">א </w:t>
      </w:r>
      <w:r w:rsidR="00B57297">
        <w:rPr>
          <w:rFonts w:ascii="FrankRuehl" w:hAnsi="FrankRuehl" w:cs="FrankRuehl" w:hint="cs"/>
          <w:color w:val="000000"/>
          <w:sz w:val="28"/>
          <w:szCs w:val="28"/>
          <w:rtl/>
        </w:rPr>
        <w:t xml:space="preserve">שגזר הדין ניתן </w:t>
      </w:r>
      <w:r>
        <w:rPr>
          <w:rFonts w:ascii="FrankRuehl" w:hAnsi="FrankRuehl" w:cs="FrankRuehl"/>
          <w:color w:val="000000"/>
          <w:sz w:val="28"/>
          <w:szCs w:val="28"/>
          <w:rtl/>
        </w:rPr>
        <w:t>קרוב לארבע שנים לאחר</w:t>
      </w:r>
      <w:r w:rsidR="00B57297">
        <w:rPr>
          <w:rFonts w:ascii="FrankRuehl" w:hAnsi="FrankRuehl" w:cs="FrankRuehl" w:hint="cs"/>
          <w:color w:val="000000"/>
          <w:sz w:val="28"/>
          <w:szCs w:val="28"/>
          <w:rtl/>
        </w:rPr>
        <w:t xml:space="preserve"> </w:t>
      </w:r>
      <w:r>
        <w:rPr>
          <w:rFonts w:ascii="FrankRuehl" w:hAnsi="FrankRuehl" w:cs="FrankRuehl"/>
          <w:color w:val="000000"/>
          <w:sz w:val="28"/>
          <w:szCs w:val="28"/>
          <w:rtl/>
        </w:rPr>
        <w:t>ה</w:t>
      </w:r>
      <w:r w:rsidR="00B57297">
        <w:rPr>
          <w:rFonts w:ascii="FrankRuehl" w:hAnsi="FrankRuehl" w:cs="FrankRuehl" w:hint="cs"/>
          <w:color w:val="000000"/>
          <w:sz w:val="28"/>
          <w:szCs w:val="28"/>
          <w:rtl/>
        </w:rPr>
        <w:t>מעשי</w:t>
      </w:r>
      <w:r>
        <w:rPr>
          <w:rFonts w:ascii="FrankRuehl" w:hAnsi="FrankRuehl" w:cs="FrankRuehl"/>
          <w:color w:val="000000"/>
          <w:sz w:val="28"/>
          <w:szCs w:val="28"/>
          <w:rtl/>
        </w:rPr>
        <w:t>ם (ראו סעיף 40יא(9)-(10) לחוק העונשין</w:t>
      </w:r>
      <w:r>
        <w:rPr>
          <w:rFonts w:cs="FrankRuehl"/>
          <w:color w:val="000000"/>
          <w:sz w:val="28"/>
          <w:szCs w:val="28"/>
          <w:rtl/>
        </w:rPr>
        <w:t xml:space="preserve">; עניין </w:t>
      </w:r>
      <w:r>
        <w:rPr>
          <w:rFonts w:ascii="Miriam" w:hAnsi="Miriam" w:cs="Miriam"/>
          <w:color w:val="000000"/>
          <w:rtl/>
        </w:rPr>
        <w:t>אביטבול</w:t>
      </w:r>
      <w:r>
        <w:rPr>
          <w:rFonts w:cs="FrankRuehl"/>
          <w:color w:val="000000"/>
          <w:sz w:val="28"/>
          <w:szCs w:val="28"/>
          <w:rtl/>
        </w:rPr>
        <w:t>, פיסקאות 15 ו-17)</w:t>
      </w:r>
      <w:r>
        <w:rPr>
          <w:rFonts w:ascii="FrankRuehl" w:hAnsi="FrankRuehl" w:cs="FrankRuehl"/>
          <w:color w:val="000000"/>
          <w:sz w:val="28"/>
          <w:szCs w:val="28"/>
          <w:rtl/>
        </w:rPr>
        <w:t>.</w:t>
      </w:r>
    </w:p>
    <w:p w:rsidR="00E1430B" w:rsidRDefault="00E1430B" w:rsidP="00FB4A6E">
      <w:pPr>
        <w:tabs>
          <w:tab w:val="left" w:pos="702"/>
        </w:tabs>
        <w:spacing w:after="240" w:line="360" w:lineRule="auto"/>
        <w:ind w:left="-7"/>
        <w:jc w:val="both"/>
        <w:rPr>
          <w:rFonts w:cs="FrankRuehl"/>
          <w:color w:val="000000"/>
          <w:sz w:val="28"/>
          <w:szCs w:val="28"/>
        </w:rPr>
      </w:pPr>
      <w:r>
        <w:rPr>
          <w:rFonts w:ascii="Miriam" w:hAnsi="Miriam" w:cs="Miriam"/>
          <w:rtl/>
        </w:rPr>
        <w:lastRenderedPageBreak/>
        <w:tab/>
        <w:t>שנית</w:t>
      </w:r>
      <w:r>
        <w:rPr>
          <w:rFonts w:cs="FrankRuehl"/>
          <w:color w:val="000000"/>
          <w:sz w:val="28"/>
          <w:szCs w:val="28"/>
          <w:rtl/>
        </w:rPr>
        <w:t>, שיקול משמעותי לטובת הנאשם הוא תרומתו לחברה (סעיף 40יא(7)). תרומה זו מתבטאת בשירותו לאורך שנים כ</w:t>
      </w:r>
      <w:r w:rsidR="00FB4A6E">
        <w:rPr>
          <w:rFonts w:cs="FrankRuehl" w:hint="cs"/>
          <w:color w:val="000000"/>
          <w:sz w:val="28"/>
          <w:szCs w:val="28"/>
          <w:rtl/>
        </w:rPr>
        <w:t>-</w:t>
      </w:r>
      <w:r w:rsidR="00FB4A6E">
        <w:rPr>
          <w:rFonts w:cs="FrankRuehl" w:hint="cs"/>
          <w:color w:val="000000"/>
          <w:sz w:val="28"/>
          <w:szCs w:val="28"/>
        </w:rPr>
        <w:t>XXXX</w:t>
      </w:r>
      <w:r>
        <w:rPr>
          <w:rFonts w:cs="FrankRuehl"/>
          <w:color w:val="000000"/>
          <w:sz w:val="28"/>
          <w:szCs w:val="28"/>
          <w:rtl/>
        </w:rPr>
        <w:t>, על המורכבות הכרוכה בתפקיד זה; בתרומתו בתוך יישובו, כעולה מן המכתב מיום 4.2.21 (מוצג נ/8); אולם מעל אלה בשירותו הארוך במילואים החל משבעה באוקטובר. אכן, במרבית הזמן שירת הנאשם ביחידת ההגנה המרחבית שביישוב מגוריו, וניתן להניח כי הדבר גם אִפְשֵר לו להתפרנס לאחר פיטוריו, אולם עדיין אין להקל ראש באינטנסיביות של שירות זה ובסיכון הכרוך בו.</w:t>
      </w:r>
    </w:p>
    <w:p w:rsidR="00E1430B" w:rsidRDefault="00E1430B" w:rsidP="00B57297">
      <w:pPr>
        <w:tabs>
          <w:tab w:val="left" w:pos="702"/>
        </w:tabs>
        <w:spacing w:after="240" w:line="360" w:lineRule="auto"/>
        <w:ind w:left="-7"/>
        <w:jc w:val="both"/>
        <w:rPr>
          <w:rFonts w:cs="FrankRuehl"/>
          <w:color w:val="000000"/>
          <w:sz w:val="28"/>
          <w:szCs w:val="28"/>
          <w:rtl/>
        </w:rPr>
      </w:pPr>
      <w:r>
        <w:rPr>
          <w:rFonts w:cs="FrankRuehl"/>
          <w:color w:val="000000"/>
          <w:sz w:val="28"/>
          <w:szCs w:val="28"/>
          <w:rtl/>
        </w:rPr>
        <w:tab/>
        <w:t xml:space="preserve">איני מקל ראש בפגיעה במשפחת הנאשם, שרעייתו וילדיו לא חטאו ונושאים בהשלכות מעשיו. עם זאת, לא התרשמתי שמדובר בפגיעה חריגה ביחס לזו שקיימת באופן מובנה במצבים מעין אלה. יש להצטער על כך שהנאשם </w:t>
      </w:r>
      <w:r w:rsidR="00B57297">
        <w:rPr>
          <w:rFonts w:cs="FrankRuehl" w:hint="cs"/>
          <w:color w:val="000000"/>
          <w:sz w:val="28"/>
          <w:szCs w:val="28"/>
          <w:rtl/>
        </w:rPr>
        <w:t>לא רק ש</w:t>
      </w:r>
      <w:r>
        <w:rPr>
          <w:rFonts w:cs="FrankRuehl"/>
          <w:color w:val="000000"/>
          <w:sz w:val="28"/>
          <w:szCs w:val="28"/>
          <w:rtl/>
        </w:rPr>
        <w:t>לא נתן דעתו לפגיעה בקטינה, אלא גם לא לפגיעה ביקרים לו. מכל מקום, יש ליתן משקל לכך שההרשעה דרשה מן הנאשם למצוא תעסוקה חלופית.</w:t>
      </w:r>
    </w:p>
    <w:p w:rsidR="00E1430B" w:rsidRDefault="00E1430B" w:rsidP="00FB4A6E">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על רקע המעשים והפגיעה הנמשכת בקטינה</w:t>
      </w:r>
      <w:r w:rsidR="00B57297">
        <w:rPr>
          <w:rFonts w:cs="FrankRuehl" w:hint="cs"/>
          <w:color w:val="000000"/>
          <w:sz w:val="28"/>
          <w:szCs w:val="28"/>
          <w:rtl/>
        </w:rPr>
        <w:t>, לרבות במצבה החברתי ביישוב שבו היא והנאשם מתגוררים</w:t>
      </w:r>
      <w:r>
        <w:rPr>
          <w:rFonts w:cs="FrankRuehl"/>
          <w:color w:val="000000"/>
          <w:sz w:val="28"/>
          <w:szCs w:val="28"/>
          <w:rtl/>
        </w:rPr>
        <w:t>, איני סבור כי במקרה שכאן ניתן להסתפק במאסר שירוצה בדרך של עבודות שירות. זאת חרף ההשלכה שיכולה להיות למאסר מאחורי סורג ובריח על הנאשם, נוכח עברו כ</w:t>
      </w:r>
      <w:r w:rsidR="00FB4A6E">
        <w:rPr>
          <w:rFonts w:cs="FrankRuehl" w:hint="cs"/>
          <w:color w:val="000000"/>
          <w:sz w:val="28"/>
          <w:szCs w:val="28"/>
          <w:rtl/>
        </w:rPr>
        <w:t>-</w:t>
      </w:r>
      <w:r w:rsidR="00FB4A6E">
        <w:rPr>
          <w:rFonts w:cs="FrankRuehl" w:hint="cs"/>
          <w:color w:val="000000"/>
          <w:sz w:val="28"/>
          <w:szCs w:val="28"/>
        </w:rPr>
        <w:t>XXXX</w:t>
      </w:r>
      <w:r>
        <w:rPr>
          <w:rFonts w:cs="FrankRuehl"/>
          <w:color w:val="000000"/>
          <w:sz w:val="28"/>
          <w:szCs w:val="28"/>
          <w:rtl/>
        </w:rPr>
        <w:t>, כפי שציין בא כוחו.</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באיזון בין השיקולים השונים, ותוך מתן משקל משמעותי לשיקולים לקולא, סבורני כי יש לגזור את עונשו של הנאשם מעט מתחת השליש התחתון של המתחם, ולהעמידו על תשעה חודשי מאסר </w:t>
      </w:r>
      <w:bookmarkStart w:id="6" w:name="_Ref145339082"/>
      <w:r>
        <w:rPr>
          <w:rFonts w:cs="FrankRuehl"/>
          <w:color w:val="000000"/>
          <w:sz w:val="28"/>
          <w:szCs w:val="28"/>
          <w:rtl/>
        </w:rPr>
        <w:t>בפועל.</w:t>
      </w:r>
    </w:p>
    <w:bookmarkEnd w:id="6"/>
    <w:p w:rsidR="00E1430B" w:rsidRDefault="00E1430B" w:rsidP="00E1430B">
      <w:pPr>
        <w:keepNext/>
        <w:spacing w:after="240"/>
        <w:rPr>
          <w:rFonts w:cs="Miriam"/>
          <w:color w:val="000000"/>
        </w:rPr>
      </w:pPr>
      <w:r>
        <w:rPr>
          <w:rFonts w:cs="Miriam"/>
          <w:color w:val="000000"/>
          <w:rtl/>
        </w:rPr>
        <w:t>ז. סיכום</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 xml:space="preserve">בשים לב לאמור לעיל, נגזרים בזאת על הנאשם העונשים הבאים: </w:t>
      </w:r>
    </w:p>
    <w:p w:rsidR="00E1430B" w:rsidRDefault="00E66E8F" w:rsidP="00E1430B">
      <w:pPr>
        <w:numPr>
          <w:ilvl w:val="1"/>
          <w:numId w:val="4"/>
        </w:numPr>
        <w:tabs>
          <w:tab w:val="left" w:pos="702"/>
        </w:tabs>
        <w:spacing w:after="240" w:line="360" w:lineRule="auto"/>
        <w:jc w:val="both"/>
        <w:rPr>
          <w:rFonts w:cs="FrankRuehl"/>
          <w:i/>
          <w:iCs/>
          <w:color w:val="000000"/>
          <w:sz w:val="28"/>
          <w:szCs w:val="28"/>
        </w:rPr>
      </w:pPr>
      <w:r>
        <w:rPr>
          <w:rFonts w:cs="FrankRuehl"/>
          <w:color w:val="000000"/>
          <w:sz w:val="28"/>
          <w:szCs w:val="28"/>
          <w:rtl/>
        </w:rPr>
        <w:lastRenderedPageBreak/>
        <w:t>9 חודשי מאסר בפועל</w:t>
      </w:r>
      <w:r>
        <w:rPr>
          <w:rFonts w:cs="FrankRuehl" w:hint="cs"/>
          <w:color w:val="000000"/>
          <w:sz w:val="28"/>
          <w:szCs w:val="28"/>
          <w:rtl/>
        </w:rPr>
        <w:t xml:space="preserve"> מאחורי סורג ובריח</w:t>
      </w:r>
      <w:r>
        <w:rPr>
          <w:rFonts w:cs="FrankRuehl"/>
          <w:color w:val="000000"/>
          <w:sz w:val="28"/>
          <w:szCs w:val="28"/>
          <w:rtl/>
        </w:rPr>
        <w:t>.</w:t>
      </w:r>
    </w:p>
    <w:p w:rsidR="00E1430B" w:rsidRDefault="00E1430B" w:rsidP="00E1430B">
      <w:pPr>
        <w:tabs>
          <w:tab w:val="left" w:pos="702"/>
        </w:tabs>
        <w:spacing w:after="240" w:line="360" w:lineRule="auto"/>
        <w:ind w:left="1440"/>
        <w:jc w:val="both"/>
        <w:rPr>
          <w:rFonts w:cs="FrankRuehl"/>
          <w:i/>
          <w:iCs/>
          <w:color w:val="000000"/>
          <w:sz w:val="28"/>
          <w:szCs w:val="28"/>
        </w:rPr>
      </w:pPr>
      <w:r>
        <w:rPr>
          <w:rFonts w:cs="FrankRuehl"/>
          <w:color w:val="000000"/>
          <w:sz w:val="28"/>
          <w:szCs w:val="28"/>
          <w:rtl/>
        </w:rPr>
        <w:t>על מנת לאפשר לנאשם להתארגן וכן להשלים את שירות המילואים כפי שביקש, אני מורה כי הנאשם יתייצב לריצוי עונשו ביום 27.10.24 בשעה 09:00 במתקן הכליאה ניצן או בכל מתקן אחר שעליו יורה לו שירות בתי הסוהר, כשהוא מצויד בתעודת זהות או דרכון. הנאשם יוכל ליצור קשר עם שירות בתי הסוהר לצורך תהליך של מיון מוקדם, באמצעות הטלפון (074-7831077, 074-7831078) או הדוא"ל (</w:t>
      </w:r>
      <w:r>
        <w:rPr>
          <w:rFonts w:cs="FrankRuehl"/>
          <w:color w:val="000000"/>
          <w:sz w:val="28"/>
          <w:szCs w:val="28"/>
        </w:rPr>
        <w:t>MaasarN@jps.gov.il</w:t>
      </w:r>
      <w:r>
        <w:rPr>
          <w:rFonts w:cs="FrankRuehl"/>
          <w:color w:val="000000"/>
          <w:sz w:val="28"/>
          <w:szCs w:val="28"/>
          <w:rtl/>
        </w:rPr>
        <w:t>).</w:t>
      </w:r>
    </w:p>
    <w:p w:rsidR="00E1430B" w:rsidRDefault="00E1430B" w:rsidP="00E1430B">
      <w:pPr>
        <w:numPr>
          <w:ilvl w:val="1"/>
          <w:numId w:val="4"/>
        </w:numPr>
        <w:tabs>
          <w:tab w:val="left" w:pos="702"/>
        </w:tabs>
        <w:spacing w:after="240" w:line="360" w:lineRule="auto"/>
        <w:jc w:val="both"/>
        <w:rPr>
          <w:rFonts w:cs="FrankRuehl"/>
          <w:color w:val="000000"/>
          <w:sz w:val="28"/>
          <w:szCs w:val="28"/>
          <w:rtl/>
        </w:rPr>
      </w:pPr>
      <w:r>
        <w:rPr>
          <w:rFonts w:cs="FrankRuehl"/>
          <w:color w:val="000000"/>
          <w:sz w:val="28"/>
          <w:szCs w:val="28"/>
          <w:rtl/>
        </w:rPr>
        <w:t>מאסר על-תנאי לתקופה של 21 חודשים. הנאשם יישא עונש זה אם בתוך שלוש שנים מ</w:t>
      </w:r>
      <w:r w:rsidR="005A7003">
        <w:rPr>
          <w:rFonts w:cs="FrankRuehl" w:hint="cs"/>
          <w:color w:val="000000"/>
          <w:sz w:val="28"/>
          <w:szCs w:val="28"/>
          <w:rtl/>
        </w:rPr>
        <w:t xml:space="preserve">יום </w:t>
      </w:r>
      <w:r>
        <w:rPr>
          <w:rFonts w:cs="FrankRuehl"/>
          <w:color w:val="000000"/>
          <w:sz w:val="28"/>
          <w:szCs w:val="28"/>
          <w:rtl/>
        </w:rPr>
        <w:t>שחרורו יעבור עבירת מין מסוג פשע.</w:t>
      </w:r>
    </w:p>
    <w:p w:rsidR="00E1430B" w:rsidRDefault="00E1430B" w:rsidP="00E1430B">
      <w:pPr>
        <w:numPr>
          <w:ilvl w:val="1"/>
          <w:numId w:val="4"/>
        </w:numPr>
        <w:tabs>
          <w:tab w:val="left" w:pos="702"/>
        </w:tabs>
        <w:spacing w:after="240" w:line="360" w:lineRule="auto"/>
        <w:jc w:val="both"/>
        <w:rPr>
          <w:rFonts w:cs="FrankRuehl"/>
          <w:color w:val="000000"/>
          <w:sz w:val="28"/>
          <w:szCs w:val="28"/>
          <w:rtl/>
        </w:rPr>
      </w:pPr>
      <w:r>
        <w:rPr>
          <w:rFonts w:cs="FrankRuehl"/>
          <w:color w:val="000000"/>
          <w:sz w:val="28"/>
          <w:szCs w:val="28"/>
          <w:rtl/>
        </w:rPr>
        <w:t>מאסר על תנאי לתקופה של 10 חודשים. הנאשם יישא עונש זה אם בתוך שלוש שנים מ</w:t>
      </w:r>
      <w:r w:rsidR="005A7003">
        <w:rPr>
          <w:rFonts w:cs="FrankRuehl" w:hint="cs"/>
          <w:color w:val="000000"/>
          <w:sz w:val="28"/>
          <w:szCs w:val="28"/>
          <w:rtl/>
        </w:rPr>
        <w:t xml:space="preserve">יום </w:t>
      </w:r>
      <w:r>
        <w:rPr>
          <w:rFonts w:cs="FrankRuehl"/>
          <w:color w:val="000000"/>
          <w:sz w:val="28"/>
          <w:szCs w:val="28"/>
          <w:rtl/>
        </w:rPr>
        <w:t>שחרורו יעבור עבירת מין מסוג עוון.</w:t>
      </w:r>
    </w:p>
    <w:p w:rsidR="00E1430B" w:rsidRDefault="00E1430B" w:rsidP="001F3CC6">
      <w:pPr>
        <w:numPr>
          <w:ilvl w:val="1"/>
          <w:numId w:val="4"/>
        </w:numPr>
        <w:tabs>
          <w:tab w:val="left" w:pos="702"/>
        </w:tabs>
        <w:spacing w:after="240" w:line="360" w:lineRule="auto"/>
        <w:jc w:val="both"/>
        <w:rPr>
          <w:rFonts w:cs="FrankRuehl"/>
          <w:color w:val="000000"/>
          <w:sz w:val="28"/>
          <w:szCs w:val="28"/>
        </w:rPr>
      </w:pPr>
      <w:r>
        <w:rPr>
          <w:rFonts w:cs="FrankRuehl"/>
          <w:color w:val="000000"/>
          <w:sz w:val="28"/>
          <w:szCs w:val="28"/>
          <w:rtl/>
        </w:rPr>
        <w:t xml:space="preserve">פיצוי לקטינה בסך של 15,000 ₪. הפיצוי ישולם עד ליום </w:t>
      </w:r>
      <w:r w:rsidR="001F3CC6">
        <w:rPr>
          <w:rFonts w:cs="FrankRuehl" w:hint="cs"/>
          <w:color w:val="000000"/>
          <w:sz w:val="28"/>
          <w:szCs w:val="28"/>
          <w:rtl/>
        </w:rPr>
        <w:t>29</w:t>
      </w:r>
      <w:r>
        <w:rPr>
          <w:rFonts w:cs="FrankRuehl"/>
          <w:color w:val="000000"/>
          <w:sz w:val="28"/>
          <w:szCs w:val="28"/>
          <w:rtl/>
        </w:rPr>
        <w:t>.9.24, ואם לא כן יישא תוספת פיגור כדין. יובהר כי אין בכך כדי למנוע מן הקטינה למצות את זכויותיה כלפי הנאשם בהליכים אחרים.</w:t>
      </w:r>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bookmarkStart w:id="7" w:name="_Ref171601325"/>
      <w:r>
        <w:rPr>
          <w:rFonts w:cs="FrankRuehl"/>
          <w:color w:val="000000"/>
          <w:sz w:val="28"/>
          <w:szCs w:val="28"/>
          <w:u w:val="single"/>
          <w:rtl/>
        </w:rPr>
        <w:t>יש לקוות כי עם השלמת ההליך</w:t>
      </w:r>
      <w:r w:rsidR="00E66E8F">
        <w:rPr>
          <w:rFonts w:cs="FrankRuehl" w:hint="cs"/>
          <w:color w:val="000000"/>
          <w:sz w:val="28"/>
          <w:szCs w:val="28"/>
          <w:u w:val="single"/>
          <w:rtl/>
        </w:rPr>
        <w:t xml:space="preserve"> בערכאה זו</w:t>
      </w:r>
      <w:r>
        <w:rPr>
          <w:rFonts w:cs="FrankRuehl"/>
          <w:color w:val="000000"/>
          <w:sz w:val="28"/>
          <w:szCs w:val="28"/>
          <w:u w:val="single"/>
          <w:rtl/>
        </w:rPr>
        <w:t>, תימצא הדרך לקטינה להתחיל בתהליך של טיפול ושיקום, תוך תמיכה ועידוד של הקהילה הסובבת אותה ואת משפחתה</w:t>
      </w:r>
      <w:r>
        <w:rPr>
          <w:rFonts w:cs="FrankRuehl"/>
          <w:color w:val="000000"/>
          <w:sz w:val="28"/>
          <w:szCs w:val="28"/>
          <w:rtl/>
        </w:rPr>
        <w:t>.</w:t>
      </w:r>
      <w:bookmarkEnd w:id="7"/>
    </w:p>
    <w:p w:rsidR="00E1430B" w:rsidRDefault="00E1430B" w:rsidP="00E1430B">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t>ניתן לערער על פסק הדין בתוך 45 ימים.</w:t>
      </w:r>
    </w:p>
    <w:p w:rsidR="00E1430B" w:rsidRDefault="00E1430B" w:rsidP="00E66E8F">
      <w:pPr>
        <w:numPr>
          <w:ilvl w:val="0"/>
          <w:numId w:val="3"/>
        </w:numPr>
        <w:tabs>
          <w:tab w:val="left" w:pos="702"/>
        </w:tabs>
        <w:spacing w:after="240" w:line="360" w:lineRule="auto"/>
        <w:ind w:left="-7" w:firstLine="0"/>
        <w:jc w:val="both"/>
        <w:rPr>
          <w:rFonts w:cs="FrankRuehl"/>
          <w:color w:val="000000"/>
          <w:sz w:val="28"/>
          <w:szCs w:val="28"/>
        </w:rPr>
      </w:pPr>
      <w:r>
        <w:rPr>
          <w:rFonts w:cs="FrankRuehl"/>
          <w:color w:val="000000"/>
          <w:sz w:val="28"/>
          <w:szCs w:val="28"/>
          <w:rtl/>
        </w:rPr>
        <w:lastRenderedPageBreak/>
        <w:t xml:space="preserve">המזכירות תמציא את גזר הדין גם לעורכת התסקיר בעניינה של הקטינה מטעם משרד הרווחה והביטחון החברתי, אשר מתבקשת למסור לקטינה את האמור בפיסקה </w:t>
      </w:r>
      <w:r w:rsidR="00E66E8F">
        <w:rPr>
          <w:rFonts w:cs="FrankRuehl"/>
          <w:color w:val="000000"/>
          <w:sz w:val="28"/>
          <w:szCs w:val="28"/>
          <w:rtl/>
        </w:rPr>
        <w:fldChar w:fldCharType="begin"/>
      </w:r>
      <w:r w:rsidR="00E66E8F">
        <w:rPr>
          <w:rFonts w:cs="FrankRuehl"/>
          <w:color w:val="000000"/>
          <w:sz w:val="28"/>
          <w:szCs w:val="28"/>
          <w:rtl/>
        </w:rPr>
        <w:instrText xml:space="preserve"> </w:instrText>
      </w:r>
      <w:r w:rsidR="00E66E8F">
        <w:rPr>
          <w:rFonts w:cs="FrankRuehl"/>
          <w:color w:val="000000"/>
          <w:sz w:val="28"/>
          <w:szCs w:val="28"/>
        </w:rPr>
        <w:instrText>REF</w:instrText>
      </w:r>
      <w:r w:rsidR="00E66E8F">
        <w:rPr>
          <w:rFonts w:cs="FrankRuehl"/>
          <w:color w:val="000000"/>
          <w:sz w:val="28"/>
          <w:szCs w:val="28"/>
          <w:rtl/>
        </w:rPr>
        <w:instrText xml:space="preserve"> _</w:instrText>
      </w:r>
      <w:r w:rsidR="00E66E8F">
        <w:rPr>
          <w:rFonts w:cs="FrankRuehl"/>
          <w:color w:val="000000"/>
          <w:sz w:val="28"/>
          <w:szCs w:val="28"/>
        </w:rPr>
        <w:instrText>Ref171601325 \r \h</w:instrText>
      </w:r>
      <w:r w:rsidR="00E66E8F">
        <w:rPr>
          <w:rFonts w:cs="FrankRuehl"/>
          <w:color w:val="000000"/>
          <w:sz w:val="28"/>
          <w:szCs w:val="28"/>
          <w:rtl/>
        </w:rPr>
        <w:instrText xml:space="preserve">  \* </w:instrText>
      </w:r>
      <w:r w:rsidR="00E66E8F">
        <w:rPr>
          <w:rFonts w:cs="FrankRuehl"/>
          <w:color w:val="000000"/>
          <w:sz w:val="28"/>
          <w:szCs w:val="28"/>
        </w:rPr>
        <w:instrText>MERGEFORMAT</w:instrText>
      </w:r>
      <w:r w:rsidR="00E66E8F">
        <w:rPr>
          <w:rFonts w:cs="FrankRuehl"/>
          <w:color w:val="000000"/>
          <w:sz w:val="28"/>
          <w:szCs w:val="28"/>
          <w:rtl/>
        </w:rPr>
        <w:instrText xml:space="preserve"> </w:instrText>
      </w:r>
      <w:r w:rsidR="00E66E8F">
        <w:rPr>
          <w:rFonts w:cs="FrankRuehl"/>
          <w:color w:val="000000"/>
          <w:sz w:val="28"/>
          <w:szCs w:val="28"/>
          <w:rtl/>
        </w:rPr>
      </w:r>
      <w:r w:rsidR="00E66E8F">
        <w:rPr>
          <w:rFonts w:cs="FrankRuehl"/>
          <w:color w:val="000000"/>
          <w:sz w:val="28"/>
          <w:szCs w:val="28"/>
          <w:rtl/>
        </w:rPr>
        <w:fldChar w:fldCharType="separate"/>
      </w:r>
      <w:r w:rsidR="00E66E8F">
        <w:rPr>
          <w:rFonts w:cs="FrankRuehl"/>
          <w:color w:val="000000"/>
          <w:sz w:val="28"/>
          <w:szCs w:val="28"/>
          <w:cs/>
        </w:rPr>
        <w:t>‎</w:t>
      </w:r>
      <w:r w:rsidR="00E66E8F" w:rsidRPr="00E66E8F">
        <w:rPr>
          <w:rFonts w:ascii="FrankRuehl" w:hAnsi="FrankRuehl" w:cs="FrankRuehl"/>
          <w:color w:val="000000"/>
          <w:sz w:val="28"/>
          <w:szCs w:val="28"/>
        </w:rPr>
        <w:t>46</w:t>
      </w:r>
      <w:r w:rsidR="00E66E8F">
        <w:rPr>
          <w:rFonts w:cs="FrankRuehl"/>
          <w:color w:val="000000"/>
          <w:sz w:val="28"/>
          <w:szCs w:val="28"/>
          <w:rtl/>
        </w:rPr>
        <w:fldChar w:fldCharType="end"/>
      </w:r>
      <w:r>
        <w:rPr>
          <w:rFonts w:cs="FrankRuehl"/>
          <w:color w:val="000000"/>
          <w:sz w:val="28"/>
          <w:szCs w:val="28"/>
          <w:rtl/>
        </w:rPr>
        <w:t xml:space="preserve"> לעיל.</w:t>
      </w:r>
    </w:p>
    <w:p w:rsidR="00ED4465" w:rsidRDefault="00684E84" w:rsidP="00E66E8F">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כ"ב אב תשפ"ד</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26 אוגוסט 2024</w:t>
          </w:r>
        </w:sdtContent>
      </w:sdt>
      <w:r w:rsidRPr="000F2247">
        <w:rPr>
          <w:rFonts w:ascii="Arial" w:hAnsi="Arial"/>
          <w:b/>
          <w:bCs/>
          <w:sz w:val="26"/>
          <w:szCs w:val="26"/>
          <w:rtl/>
        </w:rPr>
        <w:t>, ב</w:t>
      </w:r>
      <w:r w:rsidR="00E66E8F">
        <w:rPr>
          <w:rFonts w:ascii="Arial" w:hAnsi="Arial" w:hint="cs"/>
          <w:b/>
          <w:bCs/>
          <w:sz w:val="26"/>
          <w:szCs w:val="26"/>
          <w:rtl/>
        </w:rPr>
        <w:t>מעמד</w:t>
      </w:r>
      <w:r w:rsidRPr="000F2247">
        <w:rPr>
          <w:rFonts w:ascii="Arial" w:hAnsi="Arial"/>
          <w:b/>
          <w:bCs/>
          <w:sz w:val="26"/>
          <w:szCs w:val="26"/>
          <w:rtl/>
        </w:rPr>
        <w:t xml:space="preserve"> הצדדים.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1381247814"/>
        </w:sdtPr>
        <w:sdtEndPr/>
        <w:sdtContent>
          <w:r w:rsidR="00FB4A6E">
            <w:rPr>
              <w:noProof/>
            </w:rPr>
            <w:drawing>
              <wp:inline distT="0" distB="0" distL="0" distR="0" wp14:editId="50D07946">
                <wp:extent cx="1123950"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123950" cy="904875"/>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default" r:id="rId11"/>
      <w:footerReference w:type="even" r:id="rId12"/>
      <w:footerReference w:type="default" r:id="rId13"/>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5F6" w:rsidRDefault="00EC15F6">
      <w:r>
        <w:separator/>
      </w:r>
    </w:p>
  </w:endnote>
  <w:endnote w:type="continuationSeparator" w:id="0">
    <w:p w:rsidR="00EC15F6" w:rsidRDefault="00EC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8D1895">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8D1895">
      <w:rPr>
        <w:noProof/>
        <w:rtl/>
      </w:rPr>
      <w:t>1</w:t>
    </w:r>
    <w:r w:rsidR="0006726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5F6" w:rsidRDefault="00EC15F6">
      <w:r>
        <w:separator/>
      </w:r>
    </w:p>
  </w:footnote>
  <w:footnote w:type="continuationSeparator" w:id="0">
    <w:p w:rsidR="00EC15F6" w:rsidRDefault="00EC15F6">
      <w:r>
        <w:continuationSeparator/>
      </w:r>
    </w:p>
  </w:footnote>
  <w:footnote w:id="1">
    <w:p w:rsidR="00E1430B" w:rsidRDefault="00E1430B" w:rsidP="00A91C32">
      <w:pPr>
        <w:pStyle w:val="ab"/>
        <w:spacing w:line="360" w:lineRule="auto"/>
        <w:jc w:val="both"/>
        <w:rPr>
          <w:rFonts w:cs="FrankRuehl"/>
          <w:color w:val="000000"/>
          <w:sz w:val="24"/>
          <w:szCs w:val="24"/>
        </w:rPr>
      </w:pPr>
      <w:r>
        <w:rPr>
          <w:rStyle w:val="ae"/>
        </w:rPr>
        <w:footnoteRef/>
      </w:r>
      <w:r>
        <w:rPr>
          <w:rtl/>
        </w:rPr>
        <w:t xml:space="preserve"> </w:t>
      </w:r>
      <w:r>
        <w:rPr>
          <w:rFonts w:cs="FrankRuehl"/>
          <w:color w:val="000000"/>
          <w:sz w:val="24"/>
          <w:szCs w:val="24"/>
          <w:rtl/>
        </w:rPr>
        <w:t>לעניין זה ראו גם את ההערה שבעפ"ג (ת"א) 2082-11-14 </w:t>
      </w:r>
      <w:r>
        <w:rPr>
          <w:rFonts w:ascii="Miriam" w:hAnsi="Miriam" w:cs="Miriam"/>
          <w:sz w:val="18"/>
          <w:szCs w:val="18"/>
          <w:rtl/>
        </w:rPr>
        <w:t>אמיר נ' מדינת ישראל</w:t>
      </w:r>
      <w:r>
        <w:rPr>
          <w:rFonts w:cs="FrankRuehl"/>
          <w:color w:val="000000"/>
          <w:sz w:val="24"/>
          <w:szCs w:val="24"/>
          <w:rtl/>
        </w:rPr>
        <w:t>, פיסקה 26 (3.6.2015)</w:t>
      </w:r>
      <w:r w:rsidR="00A91C32">
        <w:rPr>
          <w:rFonts w:cs="FrankRuehl" w:hint="cs"/>
          <w:color w:val="000000"/>
          <w:sz w:val="24"/>
          <w:szCs w:val="24"/>
          <w:rtl/>
        </w:rPr>
        <w:t>, שם צוין כי "</w:t>
      </w:r>
      <w:r w:rsidR="00A91C32" w:rsidRPr="00A91C32">
        <w:rPr>
          <w:rFonts w:cs="FrankRuehl"/>
          <w:color w:val="000000"/>
          <w:sz w:val="24"/>
          <w:szCs w:val="24"/>
          <w:rtl/>
        </w:rPr>
        <w:t>עיון בפסיקה</w:t>
      </w:r>
      <w:r w:rsidR="00A91C32">
        <w:rPr>
          <w:rFonts w:cs="FrankRuehl" w:hint="cs"/>
          <w:color w:val="000000"/>
          <w:sz w:val="24"/>
          <w:szCs w:val="24"/>
          <w:rtl/>
        </w:rPr>
        <w:t>...</w:t>
      </w:r>
      <w:r w:rsidR="00A91C32" w:rsidRPr="00A91C32">
        <w:rPr>
          <w:rFonts w:cs="FrankRuehl"/>
          <w:color w:val="000000"/>
          <w:sz w:val="24"/>
          <w:szCs w:val="24"/>
          <w:rtl/>
        </w:rPr>
        <w:t xml:space="preserve"> מגלה כי ההחמרה טרם מוצתה בפועל</w:t>
      </w:r>
      <w:r w:rsidR="00A91C32">
        <w:rPr>
          <w:rFonts w:cs="FrankRuehl" w:hint="cs"/>
          <w:color w:val="000000"/>
          <w:sz w:val="24"/>
          <w:szCs w:val="24"/>
          <w:rtl/>
        </w:rPr>
        <w:t>"</w:t>
      </w:r>
      <w:r>
        <w:rPr>
          <w:rFonts w:cs="FrankRuehl"/>
          <w:color w:val="000000"/>
          <w:sz w:val="24"/>
          <w:szCs w:val="24"/>
          <w:rtl/>
        </w:rPr>
        <w:t>.</w:t>
      </w:r>
    </w:p>
    <w:p w:rsidR="00E1430B" w:rsidRDefault="00E1430B" w:rsidP="00E1430B">
      <w:pPr>
        <w:pStyle w:val="ab"/>
        <w:spacing w:line="360" w:lineRule="auto"/>
        <w:jc w:val="both"/>
        <w:rPr>
          <w:sz w:val="18"/>
          <w:szCs w:val="18"/>
          <w:rtl/>
        </w:rPr>
      </w:pPr>
      <w:r>
        <w:rPr>
          <w:rFonts w:cs="FrankRuehl"/>
          <w:color w:val="000000"/>
          <w:sz w:val="24"/>
          <w:szCs w:val="24"/>
          <w:rtl/>
        </w:rPr>
        <w:t>יוער כי בחלק מן המקרים שלהלן (ואף בחלק מן המקרים שאליהם הפנתה המאשימה ונושאים חומרה רבה יותר), ההעמדה לדין הייתה בעבירה לפי סעיף 348(א) לחוק העונשין, שהעונש המרבי בגינה פחוּת מן העונש בגין עבירה לפי סעיף 348(ב), ועומד על שבע שנות מאסר. לא הוברר לאשורו מהם הקריטריונים להחלטה בשאלה איזה סעיף עבירה ייוחס לנאשם בכל מקרה ומקרה (</w:t>
      </w:r>
      <w:r>
        <w:rPr>
          <w:rFonts w:ascii="FrankRuehl" w:hAnsi="FrankRuehl" w:cs="FrankRuehl"/>
          <w:sz w:val="24"/>
          <w:szCs w:val="24"/>
          <w:rtl/>
        </w:rPr>
        <w:t xml:space="preserve">ראו ת"פ (מחוזי י-ם) 23054-08-21 </w:t>
      </w:r>
      <w:r>
        <w:rPr>
          <w:rFonts w:ascii="Miriam" w:hAnsi="Miriam" w:cs="Miriam"/>
          <w:sz w:val="18"/>
          <w:szCs w:val="18"/>
          <w:rtl/>
        </w:rPr>
        <w:t>מדינת ישראל נ' חטיב</w:t>
      </w:r>
      <w:r>
        <w:rPr>
          <w:rFonts w:ascii="FrankRuehl" w:hAnsi="FrankRuehl" w:cs="FrankRuehl"/>
          <w:sz w:val="24"/>
          <w:szCs w:val="24"/>
          <w:rtl/>
        </w:rPr>
        <w:t>, פיסקה 24 ואילך (28.7.2022</w:t>
      </w:r>
      <w:r>
        <w:rPr>
          <w:rFonts w:cs="FrankRuehl"/>
          <w:color w:val="000000"/>
          <w:sz w:val="24"/>
          <w:szCs w:val="24"/>
          <w:rtl/>
        </w:rPr>
        <w:t>))</w:t>
      </w:r>
      <w:r>
        <w:rPr>
          <w:sz w:val="18"/>
          <w:szCs w:val="18"/>
          <w:rtl/>
        </w:rPr>
        <w:t>.</w:t>
      </w:r>
    </w:p>
  </w:footnote>
  <w:footnote w:id="2">
    <w:p w:rsidR="00E1430B" w:rsidRDefault="00E1430B" w:rsidP="00E1430B">
      <w:pPr>
        <w:pStyle w:val="ab"/>
        <w:spacing w:after="120" w:line="360" w:lineRule="auto"/>
        <w:jc w:val="both"/>
        <w:rPr>
          <w:rFonts w:ascii="FrankRuehl" w:hAnsi="FrankRuehl" w:cs="FrankRuehl"/>
          <w:sz w:val="24"/>
          <w:szCs w:val="24"/>
          <w:rtl/>
        </w:rPr>
      </w:pPr>
      <w:r>
        <w:rPr>
          <w:rStyle w:val="ae"/>
        </w:rPr>
        <w:footnoteRef/>
      </w:r>
      <w:r>
        <w:rPr>
          <w:rtl/>
        </w:rPr>
        <w:t xml:space="preserve"> </w:t>
      </w:r>
      <w:r>
        <w:rPr>
          <w:rFonts w:ascii="FrankRuehl" w:hAnsi="FrankRuehl" w:cs="FrankRuehl"/>
          <w:sz w:val="24"/>
          <w:szCs w:val="24"/>
          <w:rtl/>
        </w:rPr>
        <w:t>כך למשל ע"פ 436/14 שאליו הפנתה המאשימה מתייחס למעשים שבוצעו בקטינה כבת שמונה, תוך כליאתה בכוח, וכללו גם נגיעה בגוף ובמפשעה חרף צעקותיה ובכיה. בעפ"ג (י-ם) 3581-09-16 המעשים בוצעו בקטינה כבת תשע וחצי, וכללו גם נגיעות באזור איבר המין, נישוק בפה ועל הלחי ועוד. בת"פ (מחוזי י-ם) 4139-11-15 מדובר היה בקטינה כבת עשר שהנאשם העלה אותה בכוח לאוטובוס, איים עליה, ולאחר שהוריד אותה פתח את כפתור מכנסיו וביקש ממנה למחוץ את איבר מינו.</w:t>
      </w:r>
    </w:p>
  </w:footnote>
  <w:footnote w:id="3">
    <w:p w:rsidR="00E1430B" w:rsidRDefault="00E1430B" w:rsidP="00E1430B">
      <w:pPr>
        <w:pStyle w:val="ab"/>
        <w:spacing w:after="120" w:line="360" w:lineRule="auto"/>
        <w:jc w:val="both"/>
        <w:rPr>
          <w:rFonts w:ascii="FrankRuehl" w:hAnsi="FrankRuehl" w:cs="FrankRuehl"/>
          <w:sz w:val="24"/>
          <w:szCs w:val="24"/>
          <w:rtl/>
        </w:rPr>
      </w:pPr>
      <w:r>
        <w:rPr>
          <w:rStyle w:val="ae"/>
        </w:rPr>
        <w:footnoteRef/>
      </w:r>
      <w:r>
        <w:rPr>
          <w:rtl/>
        </w:rPr>
        <w:t xml:space="preserve"> </w:t>
      </w:r>
      <w:r>
        <w:rPr>
          <w:rFonts w:ascii="FrankRuehl" w:hAnsi="FrankRuehl" w:cs="FrankRuehl"/>
          <w:sz w:val="24"/>
          <w:szCs w:val="24"/>
          <w:rtl/>
        </w:rPr>
        <w:t>כך, ע"פ 2103/19 התייחס למישוש איבר מינו של קטין לאחר הפשטתו; נקבע מתחם הנע בין 12 ל-36 חודשי מאסר בפועל; ונגזר עונש ברף התחתון. ע"פ 10068/16 התייחס אל מי שבשתי הזדמנויות תחב את ידו מבעד למכנסי נכדה בן השמונה של בת זוגתו, ליטף את ישבנו ונגע באיבר מינו; גם שם נקבע מתחם הנע בין 12 ל-36 חודשי מאסר בפועל; וגם שם נגזר עונש ברף התחתון. רע"פ 157/16 התייחס למי שתחב ידו מתחת לחולצה של קטינה, ונגע בגבה, בחזייתה ובחזה; נקבע מתחם הנע בין מאסר בדרך של עבודות שירות ל-24 חודשי מאסר בפועל; ונגזרו 7 חודשי מאסר בפועל. רע"פ 3085/17 התייחס אף הוא למעשים שכללו הורדת בגדים; נקבע מתחם הנע בין מספר חודשי מאסר בפועל ל-18 חודשים כאלה; ונגזרו 8 חודשי מאסר בפועל. רע"פ 493/17 עסק במי שנגע בבטנו ובאיבר מינו של קטין כבן שלוש עשרה מתחת לבגדיו; נקבע מתחם שבין מספר חודשי מאסר שירוצו בדרך של עבודות שירות לשנת מאסר בפועל; ועל הנאשם נגזרו 8 חודשי מאסר. רע"פ 7889/14 עסק במי שנגע באיבר מינו של קטין מעל לבגדיו, ובהמשך תחב את ידו וליטף את ישבנו מתחת למכנסיו, תוך שנגזרו עליו 14 חודשי מאסר בפועל (יוער כי תפ"ע 48794-08-21 (ע"פ 8992/22), שגם אליו הפנה הנאשם, עסק במי שביצע מעשה מגונה בקטין והטרידו מינית, בכך שהציע לו להוריד את מכנסיו ונגע בירכיו, אך זאת תוך הפרת צו פיקוח; ורע"פ 5316/10 התייחס למי שנגע באיבר מינה של קטינה כבת חמש מתחת לבגדיה, ועונשו הוקל ל-6 חודשי מאסר שירוצו בדרך של עבודות שירות בעקבות תהליך טיפולי שעבר).</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בירושלים</w:t>
              </w:r>
            </w:p>
          </w:tc>
        </w:sdtContent>
      </w:sdt>
    </w:tr>
    <w:tr w:rsidR="00507694">
      <w:trPr>
        <w:trHeight w:val="337"/>
        <w:jc w:val="center"/>
      </w:trPr>
      <w:tc>
        <w:tcPr>
          <w:tcW w:w="5131" w:type="dxa"/>
        </w:tcPr>
        <w:p w:rsidR="00507694" w:rsidRDefault="00EC15F6" w:rsidP="00C230C9">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תפ"ע</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19280-08-22</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r w:rsidR="00C230C9">
                <w:rPr>
                  <w:rFonts w:cs="FrankRuehl" w:hint="cs"/>
                  <w:sz w:val="28"/>
                  <w:szCs w:val="28"/>
                  <w:rtl/>
                </w:rPr>
                <w:t>פלוני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1594FC9"/>
    <w:multiLevelType w:val="hybridMultilevel"/>
    <w:tmpl w:val="B8B6B394"/>
    <w:lvl w:ilvl="0" w:tplc="DA547046">
      <w:start w:val="1"/>
      <w:numFmt w:val="decimal"/>
      <w:lvlText w:val="%1."/>
      <w:lvlJc w:val="left"/>
      <w:pPr>
        <w:ind w:left="720" w:hanging="360"/>
      </w:pPr>
      <w:rPr>
        <w:b w:val="0"/>
        <w:bCs w:val="0"/>
        <w:lang w:val="en-US" w:bidi="he-IL"/>
      </w:rPr>
    </w:lvl>
    <w:lvl w:ilvl="1" w:tplc="55087884">
      <w:start w:val="1"/>
      <w:numFmt w:val="hebrew1"/>
      <w:lvlText w:val="%2."/>
      <w:lvlJc w:val="center"/>
      <w:pPr>
        <w:ind w:left="1440" w:hanging="360"/>
      </w:pPr>
      <w:rPr>
        <w:i w:val="0"/>
        <w:iCs w:val="0"/>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509259"/>
    <w:docVar w:name="CourtID" w:val="14"/>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509259&amp;lt;/CaseID&amp;gt;_x000d__x000a_        &amp;lt;DocumentID&amp;gt;454584379&amp;lt;/DocumentID&amp;gt;_x000d__x000a_      &amp;lt;/dt_DocumentCase&amp;gt;_x000d__x000a_      &amp;lt;dt_Document diffgr:id=&amp;quot;dt_Document1&amp;quot; msdata:rowOrder=&amp;quot;0&amp;quot; diffgr:hasChanges=&amp;quot;modified&amp;quot;&amp;gt;_x000d__x000a_        &amp;lt;DocumentID&amp;gt;454584379&amp;lt;/DocumentID&amp;gt;_x000d__x000a_        &amp;lt;DocumentMainID&amp;gt;0&amp;lt;/DocumentMainID&amp;gt;_x000d__x000a_        &amp;lt;CaseID&amp;gt;79509259&amp;lt;/CaseID&amp;gt;_x000d__x000a_        &amp;lt;DocumentIncludedDate&amp;gt;2024-09-09T13:11:37.633+03:00&amp;lt;/DocumentIncludedDate&amp;gt;_x000d__x000a_        &amp;lt;DocumentDesc&amp;gt;גזר דין  שניתנה ע&amp;quot;י  אלעזר נחלו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4-09-09T13:11:37.633+03:00&amp;lt;/DocumentSavingDate&amp;gt;_x000d__x000a_        &amp;lt;DocumentChangeDate&amp;gt;2024-09-09T13:26:13.35+03:00&amp;lt;/DocumentChangeDate&amp;gt;_x000d__x000a_        &amp;lt;IsScanned&amp;gt;false&amp;lt;/IsScanned&amp;gt;_x000d__x000a_        &amp;lt;PageQuantity&amp;gt;0&amp;lt;/PageQuantity&amp;gt;_x000d__x000a_        &amp;lt;DocumentStatusID&amp;gt;2&amp;lt;/DocumentStatusID&amp;gt;_x000d__x000a_        &amp;lt;DocumentStatusChangeDate&amp;gt;2024-09-09T13:11:38.023+03:00&amp;lt;/DocumentStatusChangeDate&amp;gt;_x000d__x000a_        &amp;lt;TemplateVersionID&amp;gt;1&amp;lt;/TemplateVersionID&amp;gt;_x000d__x000a_        &amp;lt;DocumentChangeUserID&amp;gt;032191678@GOV.IL&amp;lt;/DocumentChangeUserID&amp;gt;_x000d__x000a_        &amp;lt;DocumentCreationUserID&amp;gt;032191678@GOV.IL&amp;lt;/DocumentCreationUserID&amp;gt;_x000d__x000a_        &amp;lt;OriginalDocumentID&amp;gt;448023314&amp;lt;/OriginalDocumentID&amp;gt;_x000d__x000a_        &amp;lt;PrivillegeID&amp;gt;1&amp;lt;/PrivillegeID&amp;gt;_x000d__x000a_        &amp;lt;FromPage&amp;gt;0&amp;lt;/FromPage&amp;gt;_x000d__x000a_        &amp;lt;ToPage&amp;gt;0&amp;lt;/ToPage&amp;gt;_x000d__x000a_        &amp;lt;FileID&amp;gt;d67a44d691010000090037f6ab228c60&amp;lt;/FileID&amp;gt;_x000d__x000a_        &amp;lt;CaseDisplayNumber&amp;gt;19280-08-22&amp;lt;/CaseDisplayNumber&amp;gt;_x000d__x000a_        &amp;lt;URL&amp;gt;\\CTLNFSV02\doc_repository\43\971\d67a44d691010000090037f6ab228c60.docx&amp;lt;/URL&amp;gt;_x000d__x000a_        &amp;lt;OlivePriority&amp;gt;1&amp;lt;/OlivePriority&amp;gt;_x000d__x000a_        &amp;lt;MetaDataTypeID&amp;gt;1&amp;lt;/MetaDataTypeID&amp;gt;_x000d__x000a_        &amp;lt;MetaDataChangeDate&amp;gt;2024-09-09T13:11:38.02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אלעזר נחלון&amp;amp;lt;/anyType&amp;amp;gt;_x000d__x000a_    &amp;amp;lt;anyType xsi:type=&amp;quot;xsd:dateTime&amp;quot;&amp;amp;gt;2024-08-26T10:12:00.710998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8-26T10:12:00.71+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54584379&amp;lt;/DocumentID&amp;gt;_x000d__x000a_        &amp;lt;DocumentMainID&amp;gt;0&amp;lt;/DocumentMainID&amp;gt;_x000d__x000a_        &amp;lt;CaseID&amp;gt;79509259&amp;lt;/CaseID&amp;gt;_x000d__x000a_        &amp;lt;DocumentIncludedDate&amp;gt;2024-09-09T13:11:37.633+03:00&amp;lt;/DocumentIncludedDate&amp;gt;_x000d__x000a_        &amp;lt;DocumentDesc&amp;gt;גזר דין  שניתנה ע&amp;quot;י  אלעזר נחלו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4&amp;lt;/DocumentTypeID&amp;gt;_x000d__x000a_        &amp;lt;DocumentSavingDate&amp;gt;2024-09-09T13:11:37.633+03:00&amp;lt;/DocumentSavingDate&amp;gt;_x000d__x000a_        &amp;lt;DocumentChangeDate&amp;gt;2024-09-09T13:26:13.35+03:00&amp;lt;/DocumentChangeDate&amp;gt;_x000d__x000a_        &amp;lt;IsScanned&amp;gt;false&amp;lt;/IsScanned&amp;gt;_x000d__x000a_        &amp;lt;PageQuantity&amp;gt;0&amp;lt;/PageQuantity&amp;gt;_x000d__x000a_        &amp;lt;DocumentStatusID&amp;gt;2&amp;lt;/DocumentStatusID&amp;gt;_x000d__x000a_        &amp;lt;DocumentStatusChangeDate&amp;gt;2024-09-09T13:11:38.023+03:00&amp;lt;/DocumentStatusChangeDate&amp;gt;_x000d__x000a_        &amp;lt;TemplateVersionID&amp;gt;1&amp;lt;/TemplateVersionID&amp;gt;_x000d__x000a_        &amp;lt;DocumentChangeUserID&amp;gt;032191678@GOV.IL&amp;lt;/DocumentChangeUserID&amp;gt;_x000d__x000a_        &amp;lt;DocumentCreationUserID&amp;gt;032191678@GOV.IL&amp;lt;/DocumentCreationUserID&amp;gt;_x000d__x000a_        &amp;lt;OriginalDocumentID&amp;gt;448023314&amp;lt;/OriginalDocumentID&amp;gt;_x000d__x000a_        &amp;lt;PrivillegeID&amp;gt;1&amp;lt;/PrivillegeID&amp;gt;_x000d__x000a_        &amp;lt;FromPage&amp;gt;0&amp;lt;/FromPage&amp;gt;_x000d__x000a_        &amp;lt;ToPage&amp;gt;0&amp;lt;/ToPage&amp;gt;_x000d__x000a_        &amp;lt;FileID&amp;gt;d67a44d691010000090037f6ab228c60&amp;lt;/FileID&amp;gt;_x000d__x000a_        &amp;lt;CaseDisplayNumber&amp;gt;19280-08-22&amp;lt;/CaseDisplayNumber&amp;gt;_x000d__x000a_        &amp;lt;URL /&amp;gt;_x000d__x000a_        &amp;lt;OlivePriority&amp;gt;1&amp;lt;/OlivePriority&amp;gt;_x000d__x000a_        &amp;lt;MetaDataTypeID&amp;gt;1&amp;lt;/MetaDataTypeID&amp;gt;_x000d__x000a_        &amp;lt;MetaDataChangeDate&amp;gt;2024-09-09T13:11:38.02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4&amp;amp;lt;/anyType&amp;amp;gt;_x000d__x000a_    &amp;amp;lt;anyType xsi:type=&amp;quot;xsd:string&amp;quot;&amp;amp;gt;1&amp;amp;lt;/anyType&amp;amp;gt;_x000d__x000a_    &amp;amp;lt;anyType xsi:type=&amp;quot;xsd:string&amp;quot;&amp;amp;gt;אלעזר נחלון&amp;amp;lt;/anyType&amp;amp;gt;_x000d__x000a_    &amp;amp;lt;anyType xsi:type=&amp;quot;xsd:dateTime&amp;quot;&amp;amp;gt;2024-08-26T10:12:00.710998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8-26T10:12:00.71+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507694"/>
    <w:rsid w:val="0000752B"/>
    <w:rsid w:val="00031F8A"/>
    <w:rsid w:val="000454A8"/>
    <w:rsid w:val="00054FC4"/>
    <w:rsid w:val="0006726A"/>
    <w:rsid w:val="000F2247"/>
    <w:rsid w:val="00100577"/>
    <w:rsid w:val="001352F8"/>
    <w:rsid w:val="001B0768"/>
    <w:rsid w:val="001C1CCA"/>
    <w:rsid w:val="001F3CC6"/>
    <w:rsid w:val="00212125"/>
    <w:rsid w:val="00224AC0"/>
    <w:rsid w:val="002B7D23"/>
    <w:rsid w:val="002C5410"/>
    <w:rsid w:val="002D6C61"/>
    <w:rsid w:val="00367565"/>
    <w:rsid w:val="003D7D8A"/>
    <w:rsid w:val="003E0C9F"/>
    <w:rsid w:val="004215DC"/>
    <w:rsid w:val="004902D6"/>
    <w:rsid w:val="004A4A38"/>
    <w:rsid w:val="004D3AA3"/>
    <w:rsid w:val="00507694"/>
    <w:rsid w:val="005A7003"/>
    <w:rsid w:val="005C7B0B"/>
    <w:rsid w:val="00683ABD"/>
    <w:rsid w:val="00684E84"/>
    <w:rsid w:val="006C2095"/>
    <w:rsid w:val="007009C1"/>
    <w:rsid w:val="00706644"/>
    <w:rsid w:val="00757983"/>
    <w:rsid w:val="007B25E2"/>
    <w:rsid w:val="00821F29"/>
    <w:rsid w:val="00822550"/>
    <w:rsid w:val="00832D73"/>
    <w:rsid w:val="008819B4"/>
    <w:rsid w:val="008D1895"/>
    <w:rsid w:val="00947B38"/>
    <w:rsid w:val="009705CC"/>
    <w:rsid w:val="00973C24"/>
    <w:rsid w:val="009A730D"/>
    <w:rsid w:val="009E35A7"/>
    <w:rsid w:val="009E49A1"/>
    <w:rsid w:val="009F504D"/>
    <w:rsid w:val="00A504C4"/>
    <w:rsid w:val="00A91C32"/>
    <w:rsid w:val="00AE020D"/>
    <w:rsid w:val="00B05847"/>
    <w:rsid w:val="00B22E0A"/>
    <w:rsid w:val="00B41B18"/>
    <w:rsid w:val="00B57297"/>
    <w:rsid w:val="00BD67E7"/>
    <w:rsid w:val="00BE0015"/>
    <w:rsid w:val="00C02463"/>
    <w:rsid w:val="00C230C9"/>
    <w:rsid w:val="00C45023"/>
    <w:rsid w:val="00C51DD5"/>
    <w:rsid w:val="00C55E62"/>
    <w:rsid w:val="00C572E8"/>
    <w:rsid w:val="00C747F4"/>
    <w:rsid w:val="00CB4FA6"/>
    <w:rsid w:val="00CF3635"/>
    <w:rsid w:val="00D202F4"/>
    <w:rsid w:val="00D21B77"/>
    <w:rsid w:val="00D3203D"/>
    <w:rsid w:val="00D33BE7"/>
    <w:rsid w:val="00DB1384"/>
    <w:rsid w:val="00DE1DDD"/>
    <w:rsid w:val="00E1430B"/>
    <w:rsid w:val="00E66E8F"/>
    <w:rsid w:val="00E70F9C"/>
    <w:rsid w:val="00EA448E"/>
    <w:rsid w:val="00EC15F6"/>
    <w:rsid w:val="00ED4465"/>
    <w:rsid w:val="00F44137"/>
    <w:rsid w:val="00F75AFC"/>
    <w:rsid w:val="00FB4A6E"/>
    <w:rsid w:val="00FC35EB"/>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footnote text"/>
    <w:basedOn w:val="a"/>
    <w:link w:val="ac"/>
    <w:uiPriority w:val="99"/>
    <w:semiHidden/>
    <w:unhideWhenUsed/>
    <w:rsid w:val="00E1430B"/>
    <w:rPr>
      <w:sz w:val="20"/>
      <w:szCs w:val="20"/>
    </w:rPr>
  </w:style>
  <w:style w:type="character" w:customStyle="1" w:styleId="ac">
    <w:name w:val="טקסט הערת שוליים תו"/>
    <w:basedOn w:val="a0"/>
    <w:link w:val="ab"/>
    <w:uiPriority w:val="99"/>
    <w:semiHidden/>
    <w:rsid w:val="00E1430B"/>
    <w:rPr>
      <w:rFonts w:cs="David"/>
    </w:rPr>
  </w:style>
  <w:style w:type="paragraph" w:customStyle="1" w:styleId="ad">
    <w:name w:val="תבנית ציטוט"/>
    <w:basedOn w:val="a"/>
    <w:next w:val="a"/>
    <w:rsid w:val="00E1430B"/>
    <w:pPr>
      <w:tabs>
        <w:tab w:val="left" w:pos="702"/>
      </w:tabs>
      <w:spacing w:after="120"/>
      <w:ind w:left="1134" w:right="1134"/>
      <w:jc w:val="both"/>
    </w:pPr>
    <w:rPr>
      <w:rFonts w:cs="FrankRuehl"/>
      <w:color w:val="000000"/>
      <w:sz w:val="28"/>
      <w:szCs w:val="28"/>
    </w:rPr>
  </w:style>
  <w:style w:type="character" w:styleId="ae">
    <w:name w:val="footnote reference"/>
    <w:basedOn w:val="a0"/>
    <w:uiPriority w:val="99"/>
    <w:semiHidden/>
    <w:unhideWhenUsed/>
    <w:rsid w:val="00E143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83157117">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780E25" w:rsidP="00780E25">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417545"/>
    <w:rsid w:val="00604245"/>
    <w:rsid w:val="00780E25"/>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780E25"/>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780E25"/>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247195314</CasePartyID>
        <PartyTypeID>3</PartyTypeID>
        <ActivityStatusID>1</ActivityStatusID>
        <LegalEntityID>80805210</LegalEntityID>
        <CaseLegalEntityID>121736177</CaseLegalEntityID>
        <AssistantRoleID>27</AssistantRoleID>
        <AuthenticationTypeID>1</AuthenticationTypeID>
        <AuthenticationTypeName>ת"ז</AuthenticationTypeName>
        <IsMainPartyType>true</IsMainPartyType>
        <CaseDisplayIdentifier>19280-08-22</CaseDisplayIdentifier>
        <CaseTypeID>10283</CaseTypeID>
        <CaseTypeName>תיק פלילי עדות קטין נפגע עבירה (תפ"ע)</CaseTypeName>
        <CaseName>מדינת ישראל נ' זריהון</CaseName>
        <FullAddress>. ירושלים </FullAddress>
        <MotionID>0</MotionID>
        <CasePleaID>0</CasePleaID>
        <LinkedCaseID>0</LinkedCaseID>
        <PartyID>1</PartyID>
        <CasePartyCategoryID>2</CasePartyCategoryID>
        <LegalEntityAddressID>87109337</LegalEntityAddressID>
        <PleaTypeID>8</PleaTypeID>
        <GroupPartyAlias/>
        <IsConverted>false</IsConverted>
        <LegalEntityNameID>93862129</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פרגוד .</FullName>
        <FirstName>פרגוד</FirstName>
        <LastName>.</LastName>
        <PartyPropertyName/>
        <AuthenticationTypeAndNumber>ת"ז </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248406204</CasePartyID>
        <PartyTypeID>3</PartyTypeID>
        <ActivityStatusID>1</ActivityStatusID>
        <LegalEntityID>80863426</LegalEntityID>
        <CaseLegalEntityID>122110404</CaseLegalEntityID>
        <AssistantRoleID>33</AssistantRoleID>
        <AuthenticationTypeID>1</AuthenticationTypeID>
        <AuthenticationTypeName>ת"ז</AuthenticationTypeName>
        <IsMainPartyType>true</IsMainPartyType>
        <CaseDisplayIdentifier>19280-08-22</CaseDisplayIdentifier>
        <CaseTypeID>10283</CaseTypeID>
        <CaseTypeName>תיק פלילי עדות קטין נפגע עבירה (תפ"ע)</CaseTypeName>
        <CaseName>מדינת ישראל נ' זריהון</CaseName>
        <FullAddress>. ירושלים </FullAddress>
        <MotionID>0</MotionID>
        <CasePleaID>0</CasePleaID>
        <LinkedCaseID>0</LinkedCaseID>
        <PartyID>1</PartyID>
        <CasePartyCategoryID>2</CasePartyCategoryID>
        <LegalEntityAddressID>87222439</LegalEntityAddressID>
        <PleaTypeID>8</PleaTypeID>
        <GroupPartyAlias/>
        <IsConverted>false</IsConverted>
        <LegalEntityNameID>94002160</LegalEntityNameID>
        <RepresentatedNamesOfAssistant/>
        <LegalEntityTypeID>1</LegalEntityTypeID>
        <IsVerdictExists>false</IsVerdictExists>
        <IsAsirAzir>false</IsAsirAzir>
        <MainAndSecSpec/>
        <IsPublicationProhibited>false</IsPublicationProhibited>
        <PublicationProhibitedFullName>פרגוד .</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244748537</CasePartyID>
        <PartyTypeID>3</PartyTypeID>
        <ActivityStatusID>1</ActivityStatusID>
        <LegalEntityID>57351401</LegalEntityID>
        <CaseLegalEntityID>120935227</CaseLegalEntityID>
        <AssistantRoleID>26</AssistantRoleID>
        <AuthenticationTypeID>13</AuthenticationTypeID>
        <AuthenticationTypeName>משרדי ממשלה</AuthenticationTypeName>
        <LegalEntityNumber>570000938</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דניאלה אוזל</FullName>
        <FirstName>דניאלה</FirstName>
        <LastName>אוזל</LastName>
        <PartyPropertyName/>
        <AuthenticationTypeAndNumber>ת"ז 320508526</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248546392</CasePartyID>
        <PartyTypeID>3</PartyTypeID>
        <ActivityStatusID>1</ActivityStatusID>
        <LegalEntityID>70880616</LegalEntityID>
        <CaseLegalEntityID>122151414</CaseLegalEntityID>
        <AssistantRoleID>24</AssistantRoleID>
        <AuthenticationTypeID>1</AuthenticationTypeID>
        <AuthenticationTypeName>ת"ז</AuthenticationTypeName>
        <LegalEntityNumber>320508526</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בית חגי 85 ירושלים </FullAddress>
        <MotionID>0</MotionID>
        <CasePleaID>0</CasePleaID>
        <FatherName>שמואל</FatherName>
        <LinkedCaseID>0</LinkedCaseID>
        <PartyID>1</PartyID>
        <CasePartyCategoryID>2</CasePartyCategoryID>
        <LegalEntityAddressID>87235270</LegalEntityAddressID>
        <PleaTypeID>8</PleaTypeID>
        <GroupPartyAlias/>
        <IsConverted>false</IsConverted>
        <LegalEntityRegisteredNameID>9359228</LegalEntityRegisteredNameID>
        <LegalEntityNameID>94018025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דניאלה אוזל</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256020550</CasePartyID>
        <PartyTypeID>3</PartyTypeID>
        <ActivityStatusID>1</ActivityStatusID>
        <LegalEntityID>2116683</LegalEntityID>
        <CaseLegalEntityID>124453406</CaseLegalEntityID>
        <AssistantRoleID>14</AssistantRoleID>
        <AuthenticationTypeID>13</AuthenticationTypeID>
        <AuthenticationTypeName>משרדי ממשלה</AuthenticationTypeName>
        <LegalEntityNumber>500106275</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דותן דניאלי</FullName>
        <FirstName>דותן</FirstName>
        <LastName>דניאלי</LastName>
        <PartyPropertyName/>
        <AuthenticationTypeAndNumber>מ.ר. 53723</AuthenticationTypeAndNumber>
        <RepresentatedOrRepresentativesNames>ארגאו זריהון</RepresentatedOrRepresentativesNames>
        <RepresentatedOrRepresentativesCount>1</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246212155</CasePartyID>
        <PartyTypeID>2</PartyTypeID>
        <ActivityStatusID>1</ActivityStatusID>
        <PartyAliasID>32</PartyAliasID>
        <PartyAliasName>בא כוח נאשמים</PartyAliasName>
        <LegalEntityID>72970396</LegalEntityID>
        <CaseLegalEntityID>121425918</CaseLegalEntityID>
        <AuthenticationTypeID>4</AuthenticationTypeID>
        <AuthenticationTypeName>מ.ר.</AuthenticationTypeName>
        <LegalEntityNumber>53723</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המלך ג'ורג' 14 ירושלים ת.ד. 31078</FullAddress>
        <MotionID>0</MotionID>
        <CasePleaID>0</CasePleaID>
        <LinkedCaseID>0</LinkedCaseID>
        <PartyID>2</PartyID>
        <CasePartyCategoryID>2</CasePartyCategoryID>
        <LegalEntityAddressID>79478168</LegalEntityAddressID>
        <PleaTypeID>8</PleaTypeID>
        <GroupPartyAlias/>
        <IsConverted>false</IsConverted>
        <LegalEntityNameID>77327756</LegalEntityNameID>
        <RepresentatedNamesOfAssistant/>
        <LegalEntityTypeID>4</LegalEntityTypeID>
        <IsVerdictExists>false</IsVerdictExists>
        <IsAsirAzir>false</IsAsirAzir>
        <MainAndSecSpec/>
        <IsPublicationProhibited>false</IsPublicationProhibited>
        <PublicationProhibitedFullName>דותן דניאלי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244530520</CasePartyID>
        <PartyTypeID>1</PartyTypeID>
        <ActivityStatusID>1</ActivityStatusID>
        <PartyAliasID>11</PartyAliasID>
        <PartyAliasName>מאשימה</PartyAliasName>
        <OrdinalNumber>1</OrdinalNumber>
        <LegalEntityID>4</LegalEntityID>
        <CaseLegalEntityID>120853379</CaseLegalEntityID>
        <AuthenticationTypeID>41</AuthenticationTypeID>
        <AuthenticationTypeName>מדינת ישראל </AuthenticationTypeName>
        <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244530521</CasePartyID>
        <PartyTypeID>2</PartyTypeID>
        <ActivityStatusID>1</ActivityStatusID>
        <PartyAliasID>30</PartyAliasID>
        <PartyAliasName>בא כוח מאשימה</PartyAliasName>
        <OrdinalNumber>1</OrdinalNumber>
        <LegalEntityID>401511</LegalEntityID>
        <CaseLegalEntityID>120853380</CaseLegalEntityID>
        <AuthenticationTypeID>4</AuthenticationTypeID>
        <AuthenticationTypeName>מ.ר.</AuthenticationTypeName>
        <LegalEntityNumber>23060</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ארגאו זריהון</FullName>
        <FirstName>ארגאו</FirstName>
        <LastName>זריהון</LastName>
        <PartyPropertyName/>
        <AuthenticationTypeAndNumber>ת"ז 310124656</AuthenticationTypeAndNumber>
        <RepresentatedOrRepresentativesNames>דותן דניאלי</RepresentatedOrRepresentativesNames>
        <RepresentatedOrRepresentativesCount>1</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244530522</CasePartyID>
        <PartyTypeID>1</PartyTypeID>
        <ActivityStatusID>1</ActivityStatusID>
        <PartyAliasID>13</PartyAliasID>
        <PartyAliasName>נאשם</PartyAliasName>
        <OrdinalNumber>1</OrdinalNumber>
        <LegalEntityID>46380339</LegalEntityID>
        <CaseLegalEntityID>120853381</CaseLegalEntityID>
        <AuthenticationTypeID>1</AuthenticationTypeID>
        <AuthenticationTypeName>ת"ז</AuthenticationTypeName>
        <LegalEntityNumber>310124656</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בית חגי 12 ירושלים </FullAddress>
        <MotionID>0</MotionID>
        <CasePleaID>0</CasePleaID>
        <BirthDate>1980-01-16T11:18:53+02:00</BirthDate>
        <FatherName>אבי</FatherName>
        <LinkedCaseID>0</LinkedCaseID>
        <PartyID>2</PartyID>
        <CasePartyCategoryID>2</CasePartyCategoryID>
        <LegalEntityAddressID>86844718</LegalEntityAddressID>
        <PleaTypeID>8</PleaTypeID>
        <GroupPartyAlias>נאשמים</GroupPartyAlias>
        <IsConverted>false</IsConverted>
        <LegalEntityRegisteredNameID>10021835</LegalEntityRegisteredNameID>
        <LegalEntityNameID>93525599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ארגאו זריהון</PublicationProhibitedFullName>
      </CaseParties>
    </CasePartiesSelectionDS>
    <DecisionName>גזר דין  שניתנה ע"י  אלעזר נחלון</DecisionName>
    <CourtDisplayName>בית המשפט המחוזי בירושלים</CourtDisplayName>
    <IsCaseJudgePanel>false</IsCaseJudgePanel>
    <DecisionSignatureDate>2024-07-07T14:32:58.6359582+03:00</DecisionSignatureDate>
    <OpenCaseDate>2022-08-09T11:17:00+03:00</OpenCaseDate>
    <ExternalCaseNumber>796982/2020</ExternalCaseNumber>
    <DecisionTypeID>4</DecisionTypeID>
    <DecisionSignatureUserName>אלעזר נחלון</DecisionSignatureUserName>
    <DecisionSignatureDateHebrew>2024-07-07T14:32:58.6359582+03:00</DecisionSignatureDateHebrew>
    <DecisionWriterID>032191678@GOV.IL</DecisionWriterID>
    <CourtAddress>רח'  צאלח-א-דין  40, ירושלים 9711060</CourtAddress>
    <IsAutoTextInCaseExist>false</IsAutoTextInCaseExist>
    <DecisionSignatureRoleName>שופט</DecisionSignatureRoleName>
    <DecisionSignatureUserTitleName>שופט</DecisionSignatureUserTitleName>
    <CaseName>מדינת ישראל נ' זריהון</CaseName>
    <DecisionNumberInCase>39</DecisionNumberInCase>
  </dt_Decision>
  <dt_DecisionCase>
    <DecisionID>0</DecisionID>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חברת הקלטה</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247195314</CasePartyID>
        <PartyTypeID>3</PartyTypeID>
        <ActivityStatusID>1</ActivityStatusID>
        <LegalEntityID>80805210</LegalEntityID>
        <CaseLegalEntityID>121736177</CaseLegalEntityID>
        <AssistantRoleID>27</AssistantRoleID>
        <AuthenticationTypeID>1</AuthenticationTypeID>
        <AuthenticationTypeName>ת"ז</AuthenticationTypeName>
        <IsMainPartyType>true</IsMainPartyType>
        <CaseDisplayIdentifier>19280-08-22</CaseDisplayIdentifier>
        <CaseTypeID>10283</CaseTypeID>
        <CaseTypeName>תיק פלילי עדות קטין נפגע עבירה (תפ"ע)</CaseTypeName>
        <CaseName>מדינת ישראל נ' זריהון</CaseName>
        <FullAddress>. ירושלים </FullAddress>
        <MotionID>0</MotionID>
        <CasePleaID>0</CasePleaID>
        <LinkedCaseID>0</LinkedCaseID>
        <PartyID>1</PartyID>
        <CasePartyCategoryID>2</CasePartyCategoryID>
        <LegalEntityAddressID>87109337</LegalEntityAddressID>
        <PleaTypeID>8</PleaTypeID>
        <GroupPartyAlias/>
        <IsConverted>false</IsConverted>
        <LegalEntityNameID>93862129</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פרגוד .</FullName>
        <FirstName>פרגוד</FirstName>
        <LastName>.</LastName>
        <PartyPropertyName/>
        <AuthenticationTypeAndNumber>ת"ז </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248406204</CasePartyID>
        <PartyTypeID>3</PartyTypeID>
        <ActivityStatusID>1</ActivityStatusID>
        <LegalEntityID>80863426</LegalEntityID>
        <CaseLegalEntityID>122110404</CaseLegalEntityID>
        <AssistantRoleID>33</AssistantRoleID>
        <AuthenticationTypeID>1</AuthenticationTypeID>
        <AuthenticationTypeName>ת"ז</AuthenticationTypeName>
        <IsMainPartyType>true</IsMainPartyType>
        <CaseDisplayIdentifier>19280-08-22</CaseDisplayIdentifier>
        <CaseTypeID>10283</CaseTypeID>
        <CaseTypeName>תיק פלילי עדות קטין נפגע עבירה (תפ"ע)</CaseTypeName>
        <CaseName>מדינת ישראל נ' זריהון</CaseName>
        <FullAddress>. ירושלים </FullAddress>
        <MotionID>0</MotionID>
        <CasePleaID>0</CasePleaID>
        <LinkedCaseID>0</LinkedCaseID>
        <PartyID>1</PartyID>
        <CasePartyCategoryID>2</CasePartyCategoryID>
        <LegalEntityAddressID>87222439</LegalEntityAddressID>
        <PleaTypeID>8</PleaTypeID>
        <GroupPartyAlias/>
        <IsConverted>false</IsConverted>
        <LegalEntityNameID>94002160</LegalEntityNameID>
        <RepresentatedNamesOfAssistant/>
        <LegalEntityTypeID>1</LegalEntityTypeID>
        <IsVerdictExists>false</IsVerdictExists>
        <IsAsirAzir>false</IsAsirAzir>
        <MainAndSecSpec/>
        <IsPublicationProhibited>false</IsPublicationProhibited>
        <PublicationProhibitedFullName>פרגוד .</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244748537</CasePartyID>
        <PartyTypeID>3</PartyTypeID>
        <ActivityStatusID>1</ActivityStatusID>
        <LegalEntityID>57351401</LegalEntityID>
        <CaseLegalEntityID>120935227</CaseLegalEntityID>
        <AssistantRoleID>26</AssistantRoleID>
        <AuthenticationTypeID>13</AuthenticationTypeID>
        <AuthenticationTypeName>משרדי ממשלה</AuthenticationTypeName>
        <LegalEntityNumber>570000938</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דניאלה אוזל</FullName>
        <FirstName>דניאלה</FirstName>
        <LastName>אוזל</LastName>
        <PartyPropertyName/>
        <AuthenticationTypeAndNumber>ת"ז 320508526</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248546392</CasePartyID>
        <PartyTypeID>3</PartyTypeID>
        <ActivityStatusID>1</ActivityStatusID>
        <LegalEntityID>70880616</LegalEntityID>
        <CaseLegalEntityID>122151414</CaseLegalEntityID>
        <AssistantRoleID>24</AssistantRoleID>
        <AuthenticationTypeID>1</AuthenticationTypeID>
        <AuthenticationTypeName>ת"ז</AuthenticationTypeName>
        <LegalEntityNumber>320508526</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בית חגי 85 ירושלים </FullAddress>
        <MotionID>0</MotionID>
        <CasePleaID>0</CasePleaID>
        <FatherName>שמואל</FatherName>
        <LinkedCaseID>0</LinkedCaseID>
        <PartyID>1</PartyID>
        <CasePartyCategoryID>2</CasePartyCategoryID>
        <LegalEntityAddressID>87235270</LegalEntityAddressID>
        <PleaTypeID>8</PleaTypeID>
        <GroupPartyAlias/>
        <IsConverted>false</IsConverted>
        <LegalEntityRegisteredNameID>9359228</LegalEntityRegisteredNameID>
        <LegalEntityNameID>94018025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דניאלה אוזל</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256020550</CasePartyID>
        <PartyTypeID>3</PartyTypeID>
        <ActivityStatusID>1</ActivityStatusID>
        <LegalEntityID>2116683</LegalEntityID>
        <CaseLegalEntityID>124453406</CaseLegalEntityID>
        <AssistantRoleID>14</AssistantRoleID>
        <AuthenticationTypeID>13</AuthenticationTypeID>
        <AuthenticationTypeName>משרדי ממשלה</AuthenticationTypeName>
        <LegalEntityNumber>500106275</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דותן דניאלי</FullName>
        <FirstName>דותן</FirstName>
        <LastName>דניאלי</LastName>
        <PartyPropertyName/>
        <AuthenticationTypeAndNumber>מ.ר. 53723</AuthenticationTypeAndNumber>
        <RepresentatedOrRepresentativesNames>ארגאו זריהון</RepresentatedOrRepresentativesNames>
        <RepresentatedOrRepresentativesCount>1</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246212155</CasePartyID>
        <PartyTypeID>2</PartyTypeID>
        <ActivityStatusID>1</ActivityStatusID>
        <PartyAliasID>32</PartyAliasID>
        <PartyAliasName>בא כוח נאשמים</PartyAliasName>
        <LegalEntityID>72970396</LegalEntityID>
        <CaseLegalEntityID>121425918</CaseLegalEntityID>
        <AuthenticationTypeID>4</AuthenticationTypeID>
        <AuthenticationTypeName>מ.ר.</AuthenticationTypeName>
        <LegalEntityNumber>53723</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המלך ג'ורג' 14 ירושלים ת.ד. 31078</FullAddress>
        <MotionID>0</MotionID>
        <CasePleaID>0</CasePleaID>
        <LinkedCaseID>0</LinkedCaseID>
        <PartyID>2</PartyID>
        <CasePartyCategoryID>2</CasePartyCategoryID>
        <LegalEntityAddressID>79478168</LegalEntityAddressID>
        <PleaTypeID>8</PleaTypeID>
        <GroupPartyAlias/>
        <IsConverted>false</IsConverted>
        <LegalEntityNameID>77327756</LegalEntityNameID>
        <RepresentatedNamesOfAssistant/>
        <LegalEntityTypeID>4</LegalEntityTypeID>
        <IsVerdictExists>false</IsVerdictExists>
        <IsAsirAzir>false</IsAsirAzir>
        <MainAndSecSpec/>
        <IsPublicationProhibited>false</IsPublicationProhibited>
        <PublicationProhibitedFullName>דותן דניאלי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244530520</CasePartyID>
        <PartyTypeID>1</PartyTypeID>
        <ActivityStatusID>1</ActivityStatusID>
        <PartyAliasID>11</PartyAliasID>
        <PartyAliasName>מאשימה</PartyAliasName>
        <OrdinalNumber>1</OrdinalNumber>
        <LegalEntityID>4</LegalEntityID>
        <CaseLegalEntityID>120853379</CaseLegalEntityID>
        <AuthenticationTypeID>41</AuthenticationTypeID>
        <AuthenticationTypeName>מדינת ישראל </AuthenticationTypeName>
        <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
        <MotionID>0</MotionID>
        <CasePleaID>0</CasePleaID>
        <BirthDate>1955-01-01T00:00:00+02:00</BirthDate>
        <FatherName>ויקטור חיים</FatherName>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244530521</CasePartyID>
        <PartyTypeID>2</PartyTypeID>
        <ActivityStatusID>1</ActivityStatusID>
        <PartyAliasID>30</PartyAliasID>
        <PartyAliasName>בא כוח מאשימה</PartyAliasName>
        <OrdinalNumber>1</OrdinalNumber>
        <LegalEntityID>401511</LegalEntityID>
        <CaseLegalEntityID>120853380</CaseLegalEntityID>
        <AuthenticationTypeID>4</AuthenticationTypeID>
        <AuthenticationTypeName>מ.ר.</AuthenticationTypeName>
        <LegalEntityNumber>23060</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ארגאו זריהון</FullName>
        <FirstName>ארגאו</FirstName>
        <LastName>זריהון</LastName>
        <PartyPropertyName/>
        <AuthenticationTypeAndNumber>ת"ז 310124656</AuthenticationTypeAndNumber>
        <RepresentatedOrRepresentativesNames>דותן דניאלי</RepresentatedOrRepresentativesNames>
        <RepresentatedOrRepresentativesCount>1</RepresentatedOrRepresentativesCount>
        <InvitedBy/>
        <CaseID>79509259</CaseID>
        <CaseJudicialPersonPresentationDS>
          <CaseJudicalPersonActive>
            <CaseID>79509259</CaseID>
            <JudicialPersonID>032191678@GOV.IL</JudicialPersonID>
            <JudicialPersonTypeID>1</JudicialPersonTypeID>
            <JudicialTypeID>1</JudicialTypeID>
            <IsChairman>false</IsChairman>
            <TreatmentStartDate>2022-08-14T16:48:05.213+03:00</TreatmentStartDate>
            <TreatmentFinishDate>9999-12-31T23:59:59.997+02:00</TreatmentFinishDate>
            <IdentificationCardNumber>032191678</IdentificationCardNumber>
            <DisplayName>אלעזר נחלון</DisplayName>
            <JudicialTypeName>שופט</JudicialTypeName>
            <CaseJudicialGroupNumber>0</CaseJudicialGroupNumber>
            <FirstName>אלעזר</FirstName>
            <LastName>נחלון</LastName>
            <JudicialPersonTitle>שופט</JudicialPersonTitle>
          </CaseJudicalPersonActive>
        </CaseJudicialPersonPresentationDS>
        <CasePartyID>244530522</CasePartyID>
        <PartyTypeID>1</PartyTypeID>
        <ActivityStatusID>1</ActivityStatusID>
        <PartyAliasID>13</PartyAliasID>
        <PartyAliasName>נאשם</PartyAliasName>
        <OrdinalNumber>1</OrdinalNumber>
        <LegalEntityID>46380339</LegalEntityID>
        <CaseLegalEntityID>120853381</CaseLegalEntityID>
        <AuthenticationTypeID>1</AuthenticationTypeID>
        <AuthenticationTypeName>ת"ז</AuthenticationTypeName>
        <LegalEntityNumber>310124656</LegalEntityNumber>
        <IsMainPartyType>true</IsMainPartyType>
        <CaseDisplayIdentifier>19280-08-22</CaseDisplayIdentifier>
        <CaseTypeID>10283</CaseTypeID>
        <CaseTypeName>תיק פלילי עדות קטין נפגע עבירה (תפ"ע)</CaseTypeName>
        <CaseName>מדינת ישראל נ' זריהון</CaseName>
        <FullAddress>בית חגי 12 ירושלים </FullAddress>
        <MotionID>0</MotionID>
        <CasePleaID>0</CasePleaID>
        <BirthDate>1980-01-16T11:18:53+02:00</BirthDate>
        <FatherName>אבי</FatherName>
        <LinkedCaseID>0</LinkedCaseID>
        <PartyID>2</PartyID>
        <CasePartyCategoryID>2</CasePartyCategoryID>
        <LegalEntityAddressID>86844718</LegalEntityAddressID>
        <PleaTypeID>8</PleaTypeID>
        <GroupPartyAlias>נאשמים</GroupPartyAlias>
        <IsConverted>false</IsConverted>
        <LegalEntityRegisteredNameID>10021835</LegalEntityRegisteredNameID>
        <LegalEntityNameID>93525599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ארגאו זריהון</PublicationProhibitedFullName>
      </CaseParties>
    </CasePartiesSelectionDS>
    <CaseName>מדינת ישראל נ' זריהון</CaseName>
    <CaseDisplayIdentifier>19280-08-22</CaseDisplayIdentifier>
    <CaseTypeShortName>תפ"ע</CaseTypeShortName>
  </dt_DecisionCase>
  <dt_DecisionJudgePanel>
    <JudgeID>032191678@GOV.IL</JudgeID>
    <DisplayName>אלעזר נחלון</DisplayName>
    <RoleName>שופט</RoleName>
    <UserTitleName>שופט</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09-7902728</Fax>
    <Phone>02-6234530</Phone>
    <AddressDesc>ת.ד. 31078</AddressDesc>
    <PartyID>2</PartyID>
    <PartyTypeID>2</PartyTypeID>
    <DecisionID>0</DecisionID>
    <StreetName>המלך ג'ורג' 14</StreetName>
    <ZipCode>91310</ZipCode>
    <CityName>ירושלים</CityName>
    <FullName>דותן דניאלי</FullName>
    <IsPublicationProhibited>false</IsPublicationProhibited>
  </dt_LegalEntityDetails>
  <dt_LegalEntityDetails>
    <Fax/>
    <Phone/>
    <AddressDesc/>
    <PartyID>1</PartyID>
    <PartyTypeID>3</PartyTypeID>
    <DecisionID>0</DecisionID>
    <AssistantRoleID>27</AssistantRoleID>
    <StreetName>.</StreetName>
    <CityName>ירושלים</CityName>
    <FullName>חברת הקלטה</FullName>
    <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פרגוד .</FullName>
    <Email/>
    <IsPublicationProhibited>false</IsPublicationProhibited>
  </dt_LegalEntityDetails>
  <dt_LegalEntityDetails>
    <Fax/>
    <Phone/>
    <AddressDesc/>
    <PartyID>1</PartyID>
    <PartyTypeID>3</PartyTypeID>
    <DecisionID>0</DecisionID>
    <AssistantRoleID>24</AssistantRoleID>
    <StreetName>בית חגי 85</StreetName>
    <CityName>ירושלים</CityName>
    <FullName>דניאלה אוזל</FullName>
    <Email/>
    <IsPublicationProhibited>false</IsPublicationProhibited>
  </dt_LegalEntityDetails>
  <dt_LegalEntityDetails>
    <Fax>02-5085782</Fax>
    <Phone>02-5310400</Phone>
    <AddressDesc>מגדל דניאל</AddressDesc>
    <PartyID>1</PartyID>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בית חגי 12</StreetName>
    <CityName>ירושלים</CityName>
    <FullName>ארגאו זריהון</FullName>
    <IsPublicationProhibited>false</IsPublicationProhibited>
  </dt_LegalEntityDetails>
  <dt_CaseJudicalPersonActive>
    <CaseJudicalPerson>שופט אלעזר נחלון</CaseJudicalPerson>
  </dt_CaseJudicalPersonActive>
  <dt_Sitting>
    <PreviousMeetingDate>2024-07-03T10:45:00+03:00</PreviousMeetingDate>
    <PreviousSittingTypeID>12</PreviousSittingTypeID>
    <PreviousMeetingDisplayName>שופט אלעזר נחלון</PreviousMeetingDisplayName>
    <PreviousMeetingRoleName>שופט</PreviousMeetingRoleName>
    <PreviousMeetingUserTitleName>שופט</PreviousMeetingUserTitleName>
    <PreviousMeetingUserUPN>032191678@GOV.IL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48B80-D519-4678-8BB8-D075BF79C3B9}">
  <ds:schemaRefs/>
</ds:datastoreItem>
</file>

<file path=customXml/itemProps2.xml><?xml version="1.0" encoding="utf-8"?>
<ds:datastoreItem xmlns:ds="http://schemas.openxmlformats.org/officeDocument/2006/customXml" ds:itemID="{40718132-8D79-41A3-AABA-1ABE74820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4341</Words>
  <Characters>21707</Characters>
  <Application>Microsoft Office Word</Application>
  <DocSecurity>0</DocSecurity>
  <Lines>180</Lines>
  <Paragraphs>51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2024-09-11T11:51:00Z</dcterms:created>
  <dcterms:modified xsi:type="dcterms:W3CDTF">2024-09-11T11:51:00Z</dcterms:modified>
</cp:coreProperties>
</file>